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A03" w:rsidRDefault="005D4A03" w:rsidP="005D4A03">
      <w:pPr>
        <w:spacing w:after="265" w:line="240" w:lineRule="auto"/>
        <w:jc w:val="center"/>
        <w:rPr>
          <w:rFonts w:ascii="PT Serif" w:eastAsia="Times New Roman" w:hAnsi="PT Serif" w:cs="Arial"/>
          <w:color w:val="3D3B39"/>
          <w:sz w:val="21"/>
          <w:szCs w:val="21"/>
          <w:lang w:eastAsia="it-IT"/>
        </w:rPr>
      </w:pPr>
      <w:r w:rsidRPr="005D4A03">
        <w:rPr>
          <w:rFonts w:eastAsia="Times New Roman" w:cstheme="minorHAnsi"/>
          <w:b/>
          <w:color w:val="3D3B39"/>
          <w:sz w:val="28"/>
          <w:szCs w:val="28"/>
          <w:lang w:eastAsia="it-IT"/>
        </w:rPr>
        <w:t>SENTENZE OGGI PA</w:t>
      </w:r>
      <w:r w:rsidR="009B213C" w:rsidRPr="005D4A03">
        <w:rPr>
          <w:rFonts w:eastAsia="Times New Roman" w:cstheme="minorHAnsi"/>
          <w:b/>
          <w:color w:val="3D3B39"/>
          <w:sz w:val="28"/>
          <w:szCs w:val="28"/>
          <w:lang w:eastAsia="it-IT"/>
        </w:rPr>
        <w:br/>
      </w:r>
    </w:p>
    <w:p w:rsidR="005D4A03" w:rsidRDefault="005D4A03" w:rsidP="005D4A03">
      <w:pPr>
        <w:spacing w:after="265" w:line="240" w:lineRule="auto"/>
        <w:jc w:val="center"/>
        <w:rPr>
          <w:rFonts w:ascii="PT Serif" w:eastAsia="Times New Roman" w:hAnsi="PT Serif" w:cs="Arial"/>
          <w:color w:val="3D3B39"/>
          <w:sz w:val="21"/>
          <w:szCs w:val="21"/>
          <w:lang w:eastAsia="it-IT"/>
        </w:rPr>
      </w:pPr>
    </w:p>
    <w:p w:rsidR="009B213C" w:rsidRPr="005D4A03" w:rsidRDefault="009B213C" w:rsidP="005D4A03">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 xml:space="preserve">Pubblicato il 03/09/2018 </w:t>
      </w:r>
      <w:r w:rsidRPr="005D4A03">
        <w:rPr>
          <w:rFonts w:eastAsia="Times New Roman" w:cstheme="minorHAnsi"/>
          <w:color w:val="3D3B39"/>
          <w:sz w:val="20"/>
          <w:szCs w:val="20"/>
          <w:lang w:eastAsia="it-IT"/>
        </w:rPr>
        <w:br/>
        <w:t>N. 05139/2018REG.PROV.COLL.</w:t>
      </w:r>
      <w:r w:rsidRPr="005D4A03">
        <w:rPr>
          <w:rFonts w:eastAsia="Times New Roman" w:cstheme="minorHAnsi"/>
          <w:color w:val="3D3B39"/>
          <w:sz w:val="20"/>
          <w:szCs w:val="20"/>
          <w:lang w:eastAsia="it-IT"/>
        </w:rPr>
        <w:br/>
        <w:t>N. 00035/2018 REG.RIC.</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 xml:space="preserve">REPUBBLICA ITALIANA </w:t>
      </w:r>
      <w:r w:rsidRPr="005D4A03">
        <w:rPr>
          <w:rFonts w:eastAsia="Times New Roman" w:cstheme="minorHAnsi"/>
          <w:b/>
          <w:bCs/>
          <w:color w:val="3D3B39"/>
          <w:sz w:val="20"/>
          <w:szCs w:val="20"/>
          <w:lang w:eastAsia="it-IT"/>
        </w:rPr>
        <w:br/>
        <w:t>IN NOME DEL POPOLO ITALIANO</w:t>
      </w:r>
      <w:r w:rsidRPr="005D4A03">
        <w:rPr>
          <w:rFonts w:eastAsia="Times New Roman" w:cstheme="minorHAnsi"/>
          <w:b/>
          <w:bCs/>
          <w:color w:val="3D3B39"/>
          <w:sz w:val="20"/>
          <w:szCs w:val="20"/>
          <w:lang w:eastAsia="it-IT"/>
        </w:rPr>
        <w:br/>
      </w:r>
      <w:r w:rsidRPr="005D4A03">
        <w:rPr>
          <w:rFonts w:eastAsia="Times New Roman" w:cstheme="minorHAnsi"/>
          <w:color w:val="3D3B39"/>
          <w:sz w:val="20"/>
          <w:szCs w:val="20"/>
          <w:lang w:eastAsia="it-IT"/>
        </w:rPr>
        <w:br/>
        <w:t>Il Consiglio di Stato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in sede giurisdizionale (Sezione Quinta)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ha pronunciato la presente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r>
      <w:r w:rsidRPr="005D4A03">
        <w:rPr>
          <w:rFonts w:eastAsia="Times New Roman" w:cstheme="minorHAnsi"/>
          <w:b/>
          <w:bCs/>
          <w:color w:val="3D3B39"/>
          <w:sz w:val="20"/>
          <w:szCs w:val="20"/>
          <w:lang w:eastAsia="it-IT"/>
        </w:rPr>
        <w:t>SENTENZA</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 xml:space="preserve">sul ricorso in appello iscritto al numero di registro generale 35 del 2018, proposto da: </w:t>
      </w:r>
      <w:r w:rsidRPr="005D4A03">
        <w:rPr>
          <w:rFonts w:eastAsia="Times New Roman" w:cstheme="minorHAnsi"/>
          <w:color w:val="3D3B39"/>
          <w:sz w:val="20"/>
          <w:szCs w:val="20"/>
          <w:lang w:eastAsia="it-IT"/>
        </w:rPr>
        <w:br/>
        <w:t xml:space="preserve">Consorzio Stabile </w:t>
      </w:r>
      <w:proofErr w:type="spellStart"/>
      <w:r w:rsidRPr="005D4A03">
        <w:rPr>
          <w:rFonts w:eastAsia="Times New Roman" w:cstheme="minorHAnsi"/>
          <w:color w:val="3D3B39"/>
          <w:sz w:val="20"/>
          <w:szCs w:val="20"/>
          <w:lang w:eastAsia="it-IT"/>
        </w:rPr>
        <w:t>Unimed</w:t>
      </w:r>
      <w:proofErr w:type="spellEnd"/>
      <w:r w:rsidRPr="005D4A03">
        <w:rPr>
          <w:rFonts w:eastAsia="Times New Roman" w:cstheme="minorHAnsi"/>
          <w:color w:val="3D3B39"/>
          <w:sz w:val="20"/>
          <w:szCs w:val="20"/>
          <w:lang w:eastAsia="it-IT"/>
        </w:rPr>
        <w:t xml:space="preserve"> S.c. a </w:t>
      </w:r>
      <w:proofErr w:type="spellStart"/>
      <w:r w:rsidRPr="005D4A03">
        <w:rPr>
          <w:rFonts w:eastAsia="Times New Roman" w:cstheme="minorHAnsi"/>
          <w:color w:val="3D3B39"/>
          <w:sz w:val="20"/>
          <w:szCs w:val="20"/>
          <w:lang w:eastAsia="it-IT"/>
        </w:rPr>
        <w:t>r.l</w:t>
      </w:r>
      <w:proofErr w:type="spellEnd"/>
      <w:r w:rsidRPr="005D4A03">
        <w:rPr>
          <w:rFonts w:eastAsia="Times New Roman" w:cstheme="minorHAnsi"/>
          <w:color w:val="3D3B39"/>
          <w:sz w:val="20"/>
          <w:szCs w:val="20"/>
          <w:lang w:eastAsia="it-IT"/>
        </w:rPr>
        <w:t xml:space="preserve">. mandataria capogruppo del costituendo RTI con Impresa </w:t>
      </w:r>
      <w:proofErr w:type="spellStart"/>
      <w:r w:rsidRPr="005D4A03">
        <w:rPr>
          <w:rFonts w:eastAsia="Times New Roman" w:cstheme="minorHAnsi"/>
          <w:color w:val="3D3B39"/>
          <w:sz w:val="20"/>
          <w:szCs w:val="20"/>
          <w:lang w:eastAsia="it-IT"/>
        </w:rPr>
        <w:t>Doronzo</w:t>
      </w:r>
      <w:proofErr w:type="spellEnd"/>
      <w:r w:rsidRPr="005D4A03">
        <w:rPr>
          <w:rFonts w:eastAsia="Times New Roman" w:cstheme="minorHAnsi"/>
          <w:color w:val="3D3B39"/>
          <w:sz w:val="20"/>
          <w:szCs w:val="20"/>
          <w:lang w:eastAsia="it-IT"/>
        </w:rPr>
        <w:t xml:space="preserve"> Infrastrutture S.r.l., in persona del legale rappresentante </w:t>
      </w:r>
      <w:proofErr w:type="spellStart"/>
      <w:r w:rsidRPr="005D4A03">
        <w:rPr>
          <w:rFonts w:eastAsia="Times New Roman" w:cstheme="minorHAnsi"/>
          <w:color w:val="3D3B39"/>
          <w:sz w:val="20"/>
          <w:szCs w:val="20"/>
          <w:lang w:eastAsia="it-IT"/>
        </w:rPr>
        <w:t>p.t.</w:t>
      </w:r>
      <w:proofErr w:type="spellEnd"/>
      <w:r w:rsidRPr="005D4A03">
        <w:rPr>
          <w:rFonts w:eastAsia="Times New Roman" w:cstheme="minorHAnsi"/>
          <w:color w:val="3D3B39"/>
          <w:sz w:val="20"/>
          <w:szCs w:val="20"/>
          <w:lang w:eastAsia="it-IT"/>
        </w:rPr>
        <w:t xml:space="preserve">, rappresentata e difesa dagli avvocati Arturo </w:t>
      </w:r>
      <w:proofErr w:type="spellStart"/>
      <w:r w:rsidRPr="005D4A03">
        <w:rPr>
          <w:rFonts w:eastAsia="Times New Roman" w:cstheme="minorHAnsi"/>
          <w:color w:val="3D3B39"/>
          <w:sz w:val="20"/>
          <w:szCs w:val="20"/>
          <w:lang w:eastAsia="it-IT"/>
        </w:rPr>
        <w:t>Cancrini</w:t>
      </w:r>
      <w:proofErr w:type="spellEnd"/>
      <w:r w:rsidRPr="005D4A03">
        <w:rPr>
          <w:rFonts w:eastAsia="Times New Roman" w:cstheme="minorHAnsi"/>
          <w:color w:val="3D3B39"/>
          <w:sz w:val="20"/>
          <w:szCs w:val="20"/>
          <w:lang w:eastAsia="it-IT"/>
        </w:rPr>
        <w:t xml:space="preserve"> e Francesco </w:t>
      </w:r>
      <w:proofErr w:type="spellStart"/>
      <w:r w:rsidRPr="005D4A03">
        <w:rPr>
          <w:rFonts w:eastAsia="Times New Roman" w:cstheme="minorHAnsi"/>
          <w:color w:val="3D3B39"/>
          <w:sz w:val="20"/>
          <w:szCs w:val="20"/>
          <w:lang w:eastAsia="it-IT"/>
        </w:rPr>
        <w:t>Vagnucci</w:t>
      </w:r>
      <w:proofErr w:type="spellEnd"/>
      <w:r w:rsidRPr="005D4A03">
        <w:rPr>
          <w:rFonts w:eastAsia="Times New Roman" w:cstheme="minorHAnsi"/>
          <w:color w:val="3D3B39"/>
          <w:sz w:val="20"/>
          <w:szCs w:val="20"/>
          <w:lang w:eastAsia="it-IT"/>
        </w:rPr>
        <w:t xml:space="preserve">, con domicilio eletto presso lo studio Arturo </w:t>
      </w:r>
      <w:proofErr w:type="spellStart"/>
      <w:r w:rsidRPr="005D4A03">
        <w:rPr>
          <w:rFonts w:eastAsia="Times New Roman" w:cstheme="minorHAnsi"/>
          <w:color w:val="3D3B39"/>
          <w:sz w:val="20"/>
          <w:szCs w:val="20"/>
          <w:lang w:eastAsia="it-IT"/>
        </w:rPr>
        <w:t>Cancrini</w:t>
      </w:r>
      <w:proofErr w:type="spellEnd"/>
      <w:r w:rsidRPr="005D4A03">
        <w:rPr>
          <w:rFonts w:eastAsia="Times New Roman" w:cstheme="minorHAnsi"/>
          <w:color w:val="3D3B39"/>
          <w:sz w:val="20"/>
          <w:szCs w:val="20"/>
          <w:lang w:eastAsia="it-IT"/>
        </w:rPr>
        <w:t xml:space="preserve"> in Roma, piazza San Bernardo, n. 101;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contro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Agenzia delle Entrate, </w:t>
      </w:r>
      <w:proofErr w:type="spellStart"/>
      <w:r w:rsidRPr="005D4A03">
        <w:rPr>
          <w:rFonts w:eastAsia="Times New Roman" w:cstheme="minorHAnsi"/>
          <w:color w:val="3D3B39"/>
          <w:sz w:val="20"/>
          <w:szCs w:val="20"/>
          <w:lang w:eastAsia="it-IT"/>
        </w:rPr>
        <w:t>Anac</w:t>
      </w:r>
      <w:proofErr w:type="spellEnd"/>
      <w:r w:rsidRPr="005D4A03">
        <w:rPr>
          <w:rFonts w:eastAsia="Times New Roman" w:cstheme="minorHAnsi"/>
          <w:color w:val="3D3B39"/>
          <w:sz w:val="20"/>
          <w:szCs w:val="20"/>
          <w:lang w:eastAsia="it-IT"/>
        </w:rPr>
        <w:t xml:space="preserve"> - </w:t>
      </w:r>
      <w:proofErr w:type="spellStart"/>
      <w:r w:rsidRPr="005D4A03">
        <w:rPr>
          <w:rFonts w:eastAsia="Times New Roman" w:cstheme="minorHAnsi"/>
          <w:color w:val="3D3B39"/>
          <w:sz w:val="20"/>
          <w:szCs w:val="20"/>
          <w:lang w:eastAsia="it-IT"/>
        </w:rPr>
        <w:t>Autorita'</w:t>
      </w:r>
      <w:proofErr w:type="spellEnd"/>
      <w:r w:rsidRPr="005D4A03">
        <w:rPr>
          <w:rFonts w:eastAsia="Times New Roman" w:cstheme="minorHAnsi"/>
          <w:color w:val="3D3B39"/>
          <w:sz w:val="20"/>
          <w:szCs w:val="20"/>
          <w:lang w:eastAsia="it-IT"/>
        </w:rPr>
        <w:t xml:space="preserve"> Nazionale Anticorruzione, Agenzia delle Entrate - Riscossione, in persona dei rispettivi legali rappresentanti </w:t>
      </w:r>
      <w:proofErr w:type="spellStart"/>
      <w:r w:rsidRPr="005D4A03">
        <w:rPr>
          <w:rFonts w:eastAsia="Times New Roman" w:cstheme="minorHAnsi"/>
          <w:color w:val="3D3B39"/>
          <w:sz w:val="20"/>
          <w:szCs w:val="20"/>
          <w:lang w:eastAsia="it-IT"/>
        </w:rPr>
        <w:t>p.t.</w:t>
      </w:r>
      <w:proofErr w:type="spellEnd"/>
      <w:r w:rsidRPr="005D4A03">
        <w:rPr>
          <w:rFonts w:eastAsia="Times New Roman" w:cstheme="minorHAnsi"/>
          <w:color w:val="3D3B39"/>
          <w:sz w:val="20"/>
          <w:szCs w:val="20"/>
          <w:lang w:eastAsia="it-IT"/>
        </w:rPr>
        <w:t xml:space="preserve">, rappresentate e difese dall'Avvocatura Generale dello Stato, presso i cui uffici sono domiciliate in Roma, via dei Portoghesi, n. 12; </w:t>
      </w:r>
      <w:r w:rsidRPr="005D4A03">
        <w:rPr>
          <w:rFonts w:eastAsia="Times New Roman" w:cstheme="minorHAnsi"/>
          <w:color w:val="3D3B39"/>
          <w:sz w:val="20"/>
          <w:szCs w:val="20"/>
          <w:lang w:eastAsia="it-IT"/>
        </w:rPr>
        <w:br/>
        <w:t xml:space="preserve">Rete Ferroviaria Italiana S.p.A. e </w:t>
      </w:r>
      <w:proofErr w:type="spellStart"/>
      <w:r w:rsidRPr="005D4A03">
        <w:rPr>
          <w:rFonts w:eastAsia="Times New Roman" w:cstheme="minorHAnsi"/>
          <w:color w:val="3D3B39"/>
          <w:sz w:val="20"/>
          <w:szCs w:val="20"/>
          <w:lang w:eastAsia="it-IT"/>
        </w:rPr>
        <w:t>Italferr</w:t>
      </w:r>
      <w:proofErr w:type="spellEnd"/>
      <w:r w:rsidRPr="005D4A03">
        <w:rPr>
          <w:rFonts w:eastAsia="Times New Roman" w:cstheme="minorHAnsi"/>
          <w:color w:val="3D3B39"/>
          <w:sz w:val="20"/>
          <w:szCs w:val="20"/>
          <w:lang w:eastAsia="it-IT"/>
        </w:rPr>
        <w:t xml:space="preserve"> S.p.A., in persona dei rispettivi legali rappresentanti </w:t>
      </w:r>
      <w:proofErr w:type="spellStart"/>
      <w:r w:rsidRPr="005D4A03">
        <w:rPr>
          <w:rFonts w:eastAsia="Times New Roman" w:cstheme="minorHAnsi"/>
          <w:color w:val="3D3B39"/>
          <w:sz w:val="20"/>
          <w:szCs w:val="20"/>
          <w:lang w:eastAsia="it-IT"/>
        </w:rPr>
        <w:t>p.t.</w:t>
      </w:r>
      <w:proofErr w:type="spellEnd"/>
      <w:r w:rsidRPr="005D4A03">
        <w:rPr>
          <w:rFonts w:eastAsia="Times New Roman" w:cstheme="minorHAnsi"/>
          <w:color w:val="3D3B39"/>
          <w:sz w:val="20"/>
          <w:szCs w:val="20"/>
          <w:lang w:eastAsia="it-IT"/>
        </w:rPr>
        <w:t xml:space="preserve">, rappresentate e difese dall'avvocato Marcello Vernola, con domicilio eletto presso lo studio dell’avvocato Marcello Cardi in Roma, viale Bruno </w:t>
      </w:r>
      <w:proofErr w:type="spellStart"/>
      <w:r w:rsidRPr="005D4A03">
        <w:rPr>
          <w:rFonts w:eastAsia="Times New Roman" w:cstheme="minorHAnsi"/>
          <w:color w:val="3D3B39"/>
          <w:sz w:val="20"/>
          <w:szCs w:val="20"/>
          <w:lang w:eastAsia="it-IT"/>
        </w:rPr>
        <w:t>Buozzi</w:t>
      </w:r>
      <w:proofErr w:type="spellEnd"/>
      <w:r w:rsidRPr="005D4A03">
        <w:rPr>
          <w:rFonts w:eastAsia="Times New Roman" w:cstheme="minorHAnsi"/>
          <w:color w:val="3D3B39"/>
          <w:sz w:val="20"/>
          <w:szCs w:val="20"/>
          <w:lang w:eastAsia="it-IT"/>
        </w:rPr>
        <w:t xml:space="preserve">, n. 51.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nei confronti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Società Italiana per condotte d'acqua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non costituita in giudizio; </w:t>
      </w:r>
      <w:r w:rsidRPr="005D4A03">
        <w:rPr>
          <w:rFonts w:eastAsia="Times New Roman" w:cstheme="minorHAnsi"/>
          <w:color w:val="3D3B39"/>
          <w:sz w:val="20"/>
          <w:szCs w:val="20"/>
          <w:lang w:eastAsia="it-IT"/>
        </w:rPr>
        <w:br/>
      </w:r>
      <w:proofErr w:type="spellStart"/>
      <w:r w:rsidRPr="005D4A03">
        <w:rPr>
          <w:rFonts w:eastAsia="Times New Roman" w:cstheme="minorHAnsi"/>
          <w:color w:val="3D3B39"/>
          <w:sz w:val="20"/>
          <w:szCs w:val="20"/>
          <w:lang w:eastAsia="it-IT"/>
        </w:rPr>
        <w:t>Tecnis</w:t>
      </w:r>
      <w:proofErr w:type="spellEnd"/>
      <w:r w:rsidRPr="005D4A03">
        <w:rPr>
          <w:rFonts w:eastAsia="Times New Roman" w:cstheme="minorHAnsi"/>
          <w:color w:val="3D3B39"/>
          <w:sz w:val="20"/>
          <w:szCs w:val="20"/>
          <w:lang w:eastAsia="it-IT"/>
        </w:rPr>
        <w:t xml:space="preserve"> S.p.A. in amministrazione straordinaria, in persona del legale rappresentante </w:t>
      </w:r>
      <w:proofErr w:type="spellStart"/>
      <w:r w:rsidRPr="005D4A03">
        <w:rPr>
          <w:rFonts w:eastAsia="Times New Roman" w:cstheme="minorHAnsi"/>
          <w:color w:val="3D3B39"/>
          <w:sz w:val="20"/>
          <w:szCs w:val="20"/>
          <w:lang w:eastAsia="it-IT"/>
        </w:rPr>
        <w:t>p.t.</w:t>
      </w:r>
      <w:proofErr w:type="spellEnd"/>
      <w:r w:rsidRPr="005D4A03">
        <w:rPr>
          <w:rFonts w:eastAsia="Times New Roman" w:cstheme="minorHAnsi"/>
          <w:color w:val="3D3B39"/>
          <w:sz w:val="20"/>
          <w:szCs w:val="20"/>
          <w:lang w:eastAsia="it-IT"/>
        </w:rPr>
        <w:t xml:space="preserve">, rappresentata e difesa dall'avvocato Giuliano Berruti, con domicilio eletto presso il suo studio in Roma, via delle Quattro Fontane, n. 161.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per la riforma della sentenza del T.A.R. PUGLIA - BARI: SEZIONE I n. 01150/2017, resa tra le parti.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Visti il ricorso in appello e i relativi allegati;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Visti gli atti di costituzione in giudizio dell’Agenzia delle Entrate, </w:t>
      </w:r>
      <w:proofErr w:type="spellStart"/>
      <w:r w:rsidRPr="005D4A03">
        <w:rPr>
          <w:rFonts w:eastAsia="Times New Roman" w:cstheme="minorHAnsi"/>
          <w:color w:val="3D3B39"/>
          <w:sz w:val="20"/>
          <w:szCs w:val="20"/>
          <w:lang w:eastAsia="it-IT"/>
        </w:rPr>
        <w:t>dell’Anac</w:t>
      </w:r>
      <w:proofErr w:type="spellEnd"/>
      <w:r w:rsidRPr="005D4A03">
        <w:rPr>
          <w:rFonts w:eastAsia="Times New Roman" w:cstheme="minorHAnsi"/>
          <w:color w:val="3D3B39"/>
          <w:sz w:val="20"/>
          <w:szCs w:val="20"/>
          <w:lang w:eastAsia="it-IT"/>
        </w:rPr>
        <w:t xml:space="preserve"> - </w:t>
      </w:r>
      <w:proofErr w:type="spellStart"/>
      <w:r w:rsidRPr="005D4A03">
        <w:rPr>
          <w:rFonts w:eastAsia="Times New Roman" w:cstheme="minorHAnsi"/>
          <w:color w:val="3D3B39"/>
          <w:sz w:val="20"/>
          <w:szCs w:val="20"/>
          <w:lang w:eastAsia="it-IT"/>
        </w:rPr>
        <w:t>Autorita'</w:t>
      </w:r>
      <w:proofErr w:type="spellEnd"/>
      <w:r w:rsidRPr="005D4A03">
        <w:rPr>
          <w:rFonts w:eastAsia="Times New Roman" w:cstheme="minorHAnsi"/>
          <w:color w:val="3D3B39"/>
          <w:sz w:val="20"/>
          <w:szCs w:val="20"/>
          <w:lang w:eastAsia="it-IT"/>
        </w:rPr>
        <w:t xml:space="preserve"> Nazionale Anticorruzione e dell’Agenzia delle Entrate – Riscossione, nonché di Rete Ferroviaria Italiana S.p.A., di </w:t>
      </w:r>
      <w:proofErr w:type="spellStart"/>
      <w:r w:rsidRPr="005D4A03">
        <w:rPr>
          <w:rFonts w:eastAsia="Times New Roman" w:cstheme="minorHAnsi"/>
          <w:color w:val="3D3B39"/>
          <w:sz w:val="20"/>
          <w:szCs w:val="20"/>
          <w:lang w:eastAsia="it-IT"/>
        </w:rPr>
        <w:t>Italferr</w:t>
      </w:r>
      <w:proofErr w:type="spellEnd"/>
      <w:r w:rsidRPr="005D4A03">
        <w:rPr>
          <w:rFonts w:eastAsia="Times New Roman" w:cstheme="minorHAnsi"/>
          <w:color w:val="3D3B39"/>
          <w:sz w:val="20"/>
          <w:szCs w:val="20"/>
          <w:lang w:eastAsia="it-IT"/>
        </w:rPr>
        <w:t xml:space="preserve"> S.p.A. e di </w:t>
      </w:r>
      <w:proofErr w:type="spellStart"/>
      <w:r w:rsidRPr="005D4A03">
        <w:rPr>
          <w:rFonts w:eastAsia="Times New Roman" w:cstheme="minorHAnsi"/>
          <w:color w:val="3D3B39"/>
          <w:sz w:val="20"/>
          <w:szCs w:val="20"/>
          <w:lang w:eastAsia="it-IT"/>
        </w:rPr>
        <w:t>Tecnis</w:t>
      </w:r>
      <w:proofErr w:type="spellEnd"/>
      <w:r w:rsidRPr="005D4A03">
        <w:rPr>
          <w:rFonts w:eastAsia="Times New Roman" w:cstheme="minorHAnsi"/>
          <w:color w:val="3D3B39"/>
          <w:sz w:val="20"/>
          <w:szCs w:val="20"/>
          <w:lang w:eastAsia="it-IT"/>
        </w:rPr>
        <w:t xml:space="preserve"> S.p.A. in amministrazione straordinaria;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Viste le memorie difensive;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Visti tutti gli atti della causa;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Relatore nell'udienza pubblica del giorno 3 maggio 2018 il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xml:space="preserve">. Giuseppina Luciana </w:t>
      </w:r>
      <w:proofErr w:type="spellStart"/>
      <w:r w:rsidRPr="005D4A03">
        <w:rPr>
          <w:rFonts w:eastAsia="Times New Roman" w:cstheme="minorHAnsi"/>
          <w:color w:val="3D3B39"/>
          <w:sz w:val="20"/>
          <w:szCs w:val="20"/>
          <w:lang w:eastAsia="it-IT"/>
        </w:rPr>
        <w:t>Barreca</w:t>
      </w:r>
      <w:proofErr w:type="spellEnd"/>
      <w:r w:rsidRPr="005D4A03">
        <w:rPr>
          <w:rFonts w:eastAsia="Times New Roman" w:cstheme="minorHAnsi"/>
          <w:color w:val="3D3B39"/>
          <w:sz w:val="20"/>
          <w:szCs w:val="20"/>
          <w:lang w:eastAsia="it-IT"/>
        </w:rPr>
        <w:t xml:space="preserve"> e uditi per le parti gli avvocati </w:t>
      </w:r>
      <w:proofErr w:type="spellStart"/>
      <w:r w:rsidRPr="005D4A03">
        <w:rPr>
          <w:rFonts w:eastAsia="Times New Roman" w:cstheme="minorHAnsi"/>
          <w:color w:val="3D3B39"/>
          <w:sz w:val="20"/>
          <w:szCs w:val="20"/>
          <w:lang w:eastAsia="it-IT"/>
        </w:rPr>
        <w:t>Vagnucci</w:t>
      </w:r>
      <w:proofErr w:type="spellEnd"/>
      <w:r w:rsidRPr="005D4A03">
        <w:rPr>
          <w:rFonts w:eastAsia="Times New Roman" w:cstheme="minorHAnsi"/>
          <w:color w:val="3D3B39"/>
          <w:sz w:val="20"/>
          <w:szCs w:val="20"/>
          <w:lang w:eastAsia="it-IT"/>
        </w:rPr>
        <w:t>, Berruti e Vernola;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Ritenuto e considerato in fatto e diritto quanto segue.</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lastRenderedPageBreak/>
        <w:t>FATTO e DIRITTO</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 xml:space="preserve">1.La </w:t>
      </w:r>
      <w:proofErr w:type="spellStart"/>
      <w:r w:rsidRPr="005D4A03">
        <w:rPr>
          <w:rFonts w:eastAsia="Times New Roman" w:cstheme="minorHAnsi"/>
          <w:color w:val="3D3B39"/>
          <w:sz w:val="20"/>
          <w:szCs w:val="20"/>
          <w:lang w:eastAsia="it-IT"/>
        </w:rPr>
        <w:t>Italferr</w:t>
      </w:r>
      <w:proofErr w:type="spellEnd"/>
      <w:r w:rsidRPr="005D4A03">
        <w:rPr>
          <w:rFonts w:eastAsia="Times New Roman" w:cstheme="minorHAnsi"/>
          <w:color w:val="3D3B39"/>
          <w:sz w:val="20"/>
          <w:szCs w:val="20"/>
          <w:lang w:eastAsia="it-IT"/>
        </w:rPr>
        <w:t xml:space="preserve"> S.p.A. indiceva, in nome e per conto di RFI- Rete Ferroviaria Italiana S.p.A., una procedura di gara “per la progettazione esecutiva ed esecuzione dei lavori per la realizzazione della variante di tracciato della linea ferroviaria Bari – Lecce nel tratto compreso tra Bari Centrale e Bari Torre a Mare”, per l’importo complessivo pari ad € 107.521.553.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All’esito delle operazioni di gara, in data 4 novembre 2015, il Consorzio Stabile </w:t>
      </w:r>
      <w:proofErr w:type="spellStart"/>
      <w:r w:rsidRPr="005D4A03">
        <w:rPr>
          <w:rFonts w:eastAsia="Times New Roman" w:cstheme="minorHAnsi"/>
          <w:color w:val="3D3B39"/>
          <w:sz w:val="20"/>
          <w:szCs w:val="20"/>
          <w:lang w:eastAsia="it-IT"/>
        </w:rPr>
        <w:t>Unimed</w:t>
      </w:r>
      <w:proofErr w:type="spellEnd"/>
      <w:r w:rsidRPr="005D4A03">
        <w:rPr>
          <w:rFonts w:eastAsia="Times New Roman" w:cstheme="minorHAnsi"/>
          <w:color w:val="3D3B39"/>
          <w:sz w:val="20"/>
          <w:szCs w:val="20"/>
          <w:lang w:eastAsia="it-IT"/>
        </w:rPr>
        <w:t xml:space="preserve"> S. c. a </w:t>
      </w:r>
      <w:proofErr w:type="spellStart"/>
      <w:r w:rsidRPr="005D4A03">
        <w:rPr>
          <w:rFonts w:eastAsia="Times New Roman" w:cstheme="minorHAnsi"/>
          <w:color w:val="3D3B39"/>
          <w:sz w:val="20"/>
          <w:szCs w:val="20"/>
          <w:lang w:eastAsia="it-IT"/>
        </w:rPr>
        <w:t>r.l</w:t>
      </w:r>
      <w:proofErr w:type="spellEnd"/>
      <w:r w:rsidRPr="005D4A03">
        <w:rPr>
          <w:rFonts w:eastAsia="Times New Roman" w:cstheme="minorHAnsi"/>
          <w:color w:val="3D3B39"/>
          <w:sz w:val="20"/>
          <w:szCs w:val="20"/>
          <w:lang w:eastAsia="it-IT"/>
        </w:rPr>
        <w:t xml:space="preserve">. era collocato al terzo posto in graduatoria, mentre al primo posto era classificato il costituendo RTI </w:t>
      </w:r>
      <w:proofErr w:type="spellStart"/>
      <w:r w:rsidRPr="005D4A03">
        <w:rPr>
          <w:rFonts w:eastAsia="Times New Roman" w:cstheme="minorHAnsi"/>
          <w:color w:val="3D3B39"/>
          <w:sz w:val="20"/>
          <w:szCs w:val="20"/>
          <w:lang w:eastAsia="it-IT"/>
        </w:rPr>
        <w:t>Tecnis</w:t>
      </w:r>
      <w:proofErr w:type="spellEnd"/>
      <w:r w:rsidRPr="005D4A03">
        <w:rPr>
          <w:rFonts w:eastAsia="Times New Roman" w:cstheme="minorHAnsi"/>
          <w:color w:val="3D3B39"/>
          <w:sz w:val="20"/>
          <w:szCs w:val="20"/>
          <w:lang w:eastAsia="it-IT"/>
        </w:rPr>
        <w:t xml:space="preserve"> S.p.A.- </w:t>
      </w:r>
      <w:proofErr w:type="spellStart"/>
      <w:r w:rsidRPr="005D4A03">
        <w:rPr>
          <w:rFonts w:eastAsia="Times New Roman" w:cstheme="minorHAnsi"/>
          <w:color w:val="3D3B39"/>
          <w:sz w:val="20"/>
          <w:szCs w:val="20"/>
          <w:lang w:eastAsia="it-IT"/>
        </w:rPr>
        <w:t>Sintec</w:t>
      </w:r>
      <w:proofErr w:type="spellEnd"/>
      <w:r w:rsidRPr="005D4A03">
        <w:rPr>
          <w:rFonts w:eastAsia="Times New Roman" w:cstheme="minorHAnsi"/>
          <w:color w:val="3D3B39"/>
          <w:sz w:val="20"/>
          <w:szCs w:val="20"/>
          <w:lang w:eastAsia="it-IT"/>
        </w:rPr>
        <w:t xml:space="preserve"> S.p.A.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1.1.Con provvedimento del 15 gennaio 2016, la </w:t>
      </w:r>
      <w:proofErr w:type="spellStart"/>
      <w:r w:rsidRPr="005D4A03">
        <w:rPr>
          <w:rFonts w:eastAsia="Times New Roman" w:cstheme="minorHAnsi"/>
          <w:color w:val="3D3B39"/>
          <w:sz w:val="20"/>
          <w:szCs w:val="20"/>
          <w:lang w:eastAsia="it-IT"/>
        </w:rPr>
        <w:t>Italferr</w:t>
      </w:r>
      <w:proofErr w:type="spellEnd"/>
      <w:r w:rsidRPr="005D4A03">
        <w:rPr>
          <w:rFonts w:eastAsia="Times New Roman" w:cstheme="minorHAnsi"/>
          <w:color w:val="3D3B39"/>
          <w:sz w:val="20"/>
          <w:szCs w:val="20"/>
          <w:lang w:eastAsia="it-IT"/>
        </w:rPr>
        <w:t xml:space="preserve"> S.p.A., preso atto di un’informativa </w:t>
      </w:r>
      <w:proofErr w:type="spellStart"/>
      <w:r w:rsidRPr="005D4A03">
        <w:rPr>
          <w:rFonts w:eastAsia="Times New Roman" w:cstheme="minorHAnsi"/>
          <w:color w:val="3D3B39"/>
          <w:sz w:val="20"/>
          <w:szCs w:val="20"/>
          <w:lang w:eastAsia="it-IT"/>
        </w:rPr>
        <w:t>interdittiva</w:t>
      </w:r>
      <w:proofErr w:type="spellEnd"/>
      <w:r w:rsidRPr="005D4A03">
        <w:rPr>
          <w:rFonts w:eastAsia="Times New Roman" w:cstheme="minorHAnsi"/>
          <w:color w:val="3D3B39"/>
          <w:sz w:val="20"/>
          <w:szCs w:val="20"/>
          <w:lang w:eastAsia="it-IT"/>
        </w:rPr>
        <w:t xml:space="preserve"> antimafia nei confronti della </w:t>
      </w:r>
      <w:proofErr w:type="spellStart"/>
      <w:r w:rsidRPr="005D4A03">
        <w:rPr>
          <w:rFonts w:eastAsia="Times New Roman" w:cstheme="minorHAnsi"/>
          <w:color w:val="3D3B39"/>
          <w:sz w:val="20"/>
          <w:szCs w:val="20"/>
          <w:lang w:eastAsia="it-IT"/>
        </w:rPr>
        <w:t>Tecnis</w:t>
      </w:r>
      <w:proofErr w:type="spellEnd"/>
      <w:r w:rsidRPr="005D4A03">
        <w:rPr>
          <w:rFonts w:eastAsia="Times New Roman" w:cstheme="minorHAnsi"/>
          <w:color w:val="3D3B39"/>
          <w:sz w:val="20"/>
          <w:szCs w:val="20"/>
          <w:lang w:eastAsia="it-IT"/>
        </w:rPr>
        <w:t xml:space="preserve"> S.p.A., disponeva l’esclusione dalla gara del raggruppamento aggiudicatario.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Dopo aver disposto lo scorrimento della graduatoria e avviato il subprocedimento di verifica della congruità dell’offerta della Grandi Lavori </w:t>
      </w:r>
      <w:proofErr w:type="spellStart"/>
      <w:r w:rsidRPr="005D4A03">
        <w:rPr>
          <w:rFonts w:eastAsia="Times New Roman" w:cstheme="minorHAnsi"/>
          <w:color w:val="3D3B39"/>
          <w:sz w:val="20"/>
          <w:szCs w:val="20"/>
          <w:lang w:eastAsia="it-IT"/>
        </w:rPr>
        <w:t>Fincosit</w:t>
      </w:r>
      <w:proofErr w:type="spellEnd"/>
      <w:r w:rsidRPr="005D4A03">
        <w:rPr>
          <w:rFonts w:eastAsia="Times New Roman" w:cstheme="minorHAnsi"/>
          <w:color w:val="3D3B39"/>
          <w:sz w:val="20"/>
          <w:szCs w:val="20"/>
          <w:lang w:eastAsia="it-IT"/>
        </w:rPr>
        <w:t xml:space="preserve">, seconda in graduatoria, </w:t>
      </w:r>
      <w:proofErr w:type="spellStart"/>
      <w:r w:rsidRPr="005D4A03">
        <w:rPr>
          <w:rFonts w:eastAsia="Times New Roman" w:cstheme="minorHAnsi"/>
          <w:color w:val="3D3B39"/>
          <w:sz w:val="20"/>
          <w:szCs w:val="20"/>
          <w:lang w:eastAsia="it-IT"/>
        </w:rPr>
        <w:t>Italferr</w:t>
      </w:r>
      <w:proofErr w:type="spellEnd"/>
      <w:r w:rsidRPr="005D4A03">
        <w:rPr>
          <w:rFonts w:eastAsia="Times New Roman" w:cstheme="minorHAnsi"/>
          <w:color w:val="3D3B39"/>
          <w:sz w:val="20"/>
          <w:szCs w:val="20"/>
          <w:lang w:eastAsia="it-IT"/>
        </w:rPr>
        <w:t xml:space="preserve"> S.p.A., con provvedimento del 28 aprile 2016, disponeva l’esclusione anche della seconda classificata.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Entrambi i provvedimenti di esclusione erano contestati per via giudiziale.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1.2.Frattanto, con provvedimento del 28 aprile 2016, </w:t>
      </w:r>
      <w:proofErr w:type="spellStart"/>
      <w:r w:rsidRPr="005D4A03">
        <w:rPr>
          <w:rFonts w:eastAsia="Times New Roman" w:cstheme="minorHAnsi"/>
          <w:color w:val="3D3B39"/>
          <w:sz w:val="20"/>
          <w:szCs w:val="20"/>
          <w:lang w:eastAsia="it-IT"/>
        </w:rPr>
        <w:t>Italferr</w:t>
      </w:r>
      <w:proofErr w:type="spellEnd"/>
      <w:r w:rsidRPr="005D4A03">
        <w:rPr>
          <w:rFonts w:eastAsia="Times New Roman" w:cstheme="minorHAnsi"/>
          <w:color w:val="3D3B39"/>
          <w:sz w:val="20"/>
          <w:szCs w:val="20"/>
          <w:lang w:eastAsia="it-IT"/>
        </w:rPr>
        <w:t xml:space="preserve"> S.p.A. comunicava l’avvio del subprocedimento di verifica della congruità delle offerte nei confronti dei quattro concorrenti che seguivano in graduatoria, il primo dei quali era il RTI </w:t>
      </w:r>
      <w:proofErr w:type="spellStart"/>
      <w:r w:rsidRPr="005D4A03">
        <w:rPr>
          <w:rFonts w:eastAsia="Times New Roman" w:cstheme="minorHAnsi"/>
          <w:color w:val="3D3B39"/>
          <w:sz w:val="20"/>
          <w:szCs w:val="20"/>
          <w:lang w:eastAsia="it-IT"/>
        </w:rPr>
        <w:t>Unimed</w:t>
      </w:r>
      <w:proofErr w:type="spellEnd"/>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Quest’ultimo era però escluso dalla gara, con provvedimento del 9 settembre 2016, per impossibilità di regolarizzare, mediante soccorso istruttorio, la polizza fideiussoria, rilasciata dalla </w:t>
      </w:r>
      <w:proofErr w:type="spellStart"/>
      <w:r w:rsidRPr="005D4A03">
        <w:rPr>
          <w:rFonts w:eastAsia="Times New Roman" w:cstheme="minorHAnsi"/>
          <w:color w:val="3D3B39"/>
          <w:sz w:val="20"/>
          <w:szCs w:val="20"/>
          <w:lang w:eastAsia="it-IT"/>
        </w:rPr>
        <w:t>Assured</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Guaranty</w:t>
      </w:r>
      <w:proofErr w:type="spellEnd"/>
      <w:r w:rsidRPr="005D4A03">
        <w:rPr>
          <w:rFonts w:eastAsia="Times New Roman" w:cstheme="minorHAnsi"/>
          <w:color w:val="3D3B39"/>
          <w:sz w:val="20"/>
          <w:szCs w:val="20"/>
          <w:lang w:eastAsia="it-IT"/>
        </w:rPr>
        <w:t xml:space="preserve"> UK Ltd (colpita da provvedimento dell’Autorità di vigilanza inglese, che comportava l’insussistenza della copertura assicurativa).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Avverso tale esclusione insorgeva il RTI </w:t>
      </w:r>
      <w:proofErr w:type="spellStart"/>
      <w:r w:rsidRPr="005D4A03">
        <w:rPr>
          <w:rFonts w:eastAsia="Times New Roman" w:cstheme="minorHAnsi"/>
          <w:color w:val="3D3B39"/>
          <w:sz w:val="20"/>
          <w:szCs w:val="20"/>
          <w:lang w:eastAsia="it-IT"/>
        </w:rPr>
        <w:t>Unimed</w:t>
      </w:r>
      <w:proofErr w:type="spellEnd"/>
      <w:r w:rsidRPr="005D4A03">
        <w:rPr>
          <w:rFonts w:eastAsia="Times New Roman" w:cstheme="minorHAnsi"/>
          <w:color w:val="3D3B39"/>
          <w:sz w:val="20"/>
          <w:szCs w:val="20"/>
          <w:lang w:eastAsia="it-IT"/>
        </w:rPr>
        <w:t>, con ricorso proposto al Tar per la Puglia.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1.3. Successivamente alla proposizione di questo ricorso, e precisamente in data 14 ottobre 2016, </w:t>
      </w:r>
      <w:proofErr w:type="spellStart"/>
      <w:r w:rsidRPr="005D4A03">
        <w:rPr>
          <w:rFonts w:eastAsia="Times New Roman" w:cstheme="minorHAnsi"/>
          <w:color w:val="3D3B39"/>
          <w:sz w:val="20"/>
          <w:szCs w:val="20"/>
          <w:lang w:eastAsia="it-IT"/>
        </w:rPr>
        <w:t>Italferr</w:t>
      </w:r>
      <w:proofErr w:type="spellEnd"/>
      <w:r w:rsidRPr="005D4A03">
        <w:rPr>
          <w:rFonts w:eastAsia="Times New Roman" w:cstheme="minorHAnsi"/>
          <w:color w:val="3D3B39"/>
          <w:sz w:val="20"/>
          <w:szCs w:val="20"/>
          <w:lang w:eastAsia="it-IT"/>
        </w:rPr>
        <w:t xml:space="preserve"> S.p.A. integrava i motivi di esclusione del RTI </w:t>
      </w:r>
      <w:proofErr w:type="spellStart"/>
      <w:r w:rsidRPr="005D4A03">
        <w:rPr>
          <w:rFonts w:eastAsia="Times New Roman" w:cstheme="minorHAnsi"/>
          <w:color w:val="3D3B39"/>
          <w:sz w:val="20"/>
          <w:szCs w:val="20"/>
          <w:lang w:eastAsia="it-IT"/>
        </w:rPr>
        <w:t>Unimed</w:t>
      </w:r>
      <w:proofErr w:type="spellEnd"/>
      <w:r w:rsidRPr="005D4A03">
        <w:rPr>
          <w:rFonts w:eastAsia="Times New Roman" w:cstheme="minorHAnsi"/>
          <w:color w:val="3D3B39"/>
          <w:sz w:val="20"/>
          <w:szCs w:val="20"/>
          <w:lang w:eastAsia="it-IT"/>
        </w:rPr>
        <w:t xml:space="preserve">, contestando la carenza “del requisito di ordine generale di cui all’art. 38, co. 1, </w:t>
      </w:r>
      <w:proofErr w:type="spellStart"/>
      <w:r w:rsidRPr="005D4A03">
        <w:rPr>
          <w:rFonts w:eastAsia="Times New Roman" w:cstheme="minorHAnsi"/>
          <w:color w:val="3D3B39"/>
          <w:sz w:val="20"/>
          <w:szCs w:val="20"/>
          <w:lang w:eastAsia="it-IT"/>
        </w:rPr>
        <w:t>lett</w:t>
      </w:r>
      <w:proofErr w:type="spellEnd"/>
      <w:r w:rsidRPr="005D4A03">
        <w:rPr>
          <w:rFonts w:eastAsia="Times New Roman" w:cstheme="minorHAnsi"/>
          <w:color w:val="3D3B39"/>
          <w:sz w:val="20"/>
          <w:szCs w:val="20"/>
          <w:lang w:eastAsia="it-IT"/>
        </w:rPr>
        <w:t xml:space="preserve">. g) del </w:t>
      </w:r>
      <w:proofErr w:type="spellStart"/>
      <w:r w:rsidRPr="005D4A03">
        <w:rPr>
          <w:rFonts w:eastAsia="Times New Roman" w:cstheme="minorHAnsi"/>
          <w:color w:val="3D3B39"/>
          <w:sz w:val="20"/>
          <w:szCs w:val="20"/>
          <w:lang w:eastAsia="it-IT"/>
        </w:rPr>
        <w:t>D.Lgs.</w:t>
      </w:r>
      <w:proofErr w:type="spellEnd"/>
      <w:r w:rsidRPr="005D4A03">
        <w:rPr>
          <w:rFonts w:eastAsia="Times New Roman" w:cstheme="minorHAnsi"/>
          <w:color w:val="3D3B39"/>
          <w:sz w:val="20"/>
          <w:szCs w:val="20"/>
          <w:lang w:eastAsia="it-IT"/>
        </w:rPr>
        <w:t xml:space="preserve"> n. 163/2006” in capo alla </w:t>
      </w:r>
      <w:proofErr w:type="spellStart"/>
      <w:r w:rsidRPr="005D4A03">
        <w:rPr>
          <w:rFonts w:eastAsia="Times New Roman" w:cstheme="minorHAnsi"/>
          <w:color w:val="3D3B39"/>
          <w:sz w:val="20"/>
          <w:szCs w:val="20"/>
          <w:lang w:eastAsia="it-IT"/>
        </w:rPr>
        <w:t>Primos</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Engineering</w:t>
      </w:r>
      <w:proofErr w:type="spellEnd"/>
      <w:r w:rsidRPr="005D4A03">
        <w:rPr>
          <w:rFonts w:eastAsia="Times New Roman" w:cstheme="minorHAnsi"/>
          <w:color w:val="3D3B39"/>
          <w:sz w:val="20"/>
          <w:szCs w:val="20"/>
          <w:lang w:eastAsia="it-IT"/>
        </w:rPr>
        <w:t xml:space="preserve"> S.r.l., una delle consorziate esecutrici designate dal Consorzio, nei cui confronti la stazione appaltante rilevava “violazioni gravi definitivamente accertate, rispetto agli obblighi relativi al pagamento delle imposte e tasse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Anche questo secondo provvedimento di esclusione era impugnato dinanzi al Tar per la Puglia, mediante la proposizione di motivi aggiunti al ricorso già pendente.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1.4. Nelle more, con sentenza n. 2465 del 7 ottobre 2016 del Tar Catania, confermata in appello, era annullata l’esclusione del RTI </w:t>
      </w:r>
      <w:proofErr w:type="spellStart"/>
      <w:r w:rsidRPr="005D4A03">
        <w:rPr>
          <w:rFonts w:eastAsia="Times New Roman" w:cstheme="minorHAnsi"/>
          <w:color w:val="3D3B39"/>
          <w:sz w:val="20"/>
          <w:szCs w:val="20"/>
          <w:lang w:eastAsia="it-IT"/>
        </w:rPr>
        <w:t>Tecnis</w:t>
      </w:r>
      <w:proofErr w:type="spellEnd"/>
      <w:r w:rsidRPr="005D4A03">
        <w:rPr>
          <w:rFonts w:eastAsia="Times New Roman" w:cstheme="minorHAnsi"/>
          <w:color w:val="3D3B39"/>
          <w:sz w:val="20"/>
          <w:szCs w:val="20"/>
          <w:lang w:eastAsia="it-IT"/>
        </w:rPr>
        <w:t xml:space="preserve"> dalla procedura di gara.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2. Con la sentenza n. 1150 del 9 novembre 2017 il Tar per la Puglia, sezione prima, ha accolto il ricorso introduttivo proposto da </w:t>
      </w:r>
      <w:proofErr w:type="spellStart"/>
      <w:r w:rsidRPr="005D4A03">
        <w:rPr>
          <w:rFonts w:eastAsia="Times New Roman" w:cstheme="minorHAnsi"/>
          <w:color w:val="3D3B39"/>
          <w:sz w:val="20"/>
          <w:szCs w:val="20"/>
          <w:lang w:eastAsia="it-IT"/>
        </w:rPr>
        <w:t>Unimed</w:t>
      </w:r>
      <w:proofErr w:type="spellEnd"/>
      <w:r w:rsidRPr="005D4A03">
        <w:rPr>
          <w:rFonts w:eastAsia="Times New Roman" w:cstheme="minorHAnsi"/>
          <w:color w:val="3D3B39"/>
          <w:sz w:val="20"/>
          <w:szCs w:val="20"/>
          <w:lang w:eastAsia="it-IT"/>
        </w:rPr>
        <w:t xml:space="preserve"> riconoscendo l’illegittimità dell’esclusione per asserita non sanabilità della polizza provvisoria, ma ha respinto i motivi aggiunti, confermando il provvedimento di esclusione della ricorrente per carenza del requisito di regolarità fiscale in capo alla consorziata esecutrice </w:t>
      </w:r>
      <w:proofErr w:type="spellStart"/>
      <w:r w:rsidRPr="005D4A03">
        <w:rPr>
          <w:rFonts w:eastAsia="Times New Roman" w:cstheme="minorHAnsi"/>
          <w:color w:val="3D3B39"/>
          <w:sz w:val="20"/>
          <w:szCs w:val="20"/>
          <w:lang w:eastAsia="it-IT"/>
        </w:rPr>
        <w:t>Primos</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Engineering</w:t>
      </w:r>
      <w:proofErr w:type="spellEnd"/>
      <w:r w:rsidRPr="005D4A03">
        <w:rPr>
          <w:rFonts w:eastAsia="Times New Roman" w:cstheme="minorHAnsi"/>
          <w:color w:val="3D3B39"/>
          <w:sz w:val="20"/>
          <w:szCs w:val="20"/>
          <w:lang w:eastAsia="it-IT"/>
        </w:rPr>
        <w:t xml:space="preserve"> S.r.l..</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3. Per la riforma di tale sentenza il Consorzio Stabile </w:t>
      </w:r>
      <w:proofErr w:type="spellStart"/>
      <w:r w:rsidRPr="005D4A03">
        <w:rPr>
          <w:rFonts w:eastAsia="Times New Roman" w:cstheme="minorHAnsi"/>
          <w:color w:val="3D3B39"/>
          <w:sz w:val="20"/>
          <w:szCs w:val="20"/>
          <w:lang w:eastAsia="it-IT"/>
        </w:rPr>
        <w:t>Unimed</w:t>
      </w:r>
      <w:proofErr w:type="spellEnd"/>
      <w:r w:rsidRPr="005D4A03">
        <w:rPr>
          <w:rFonts w:eastAsia="Times New Roman" w:cstheme="minorHAnsi"/>
          <w:color w:val="3D3B39"/>
          <w:sz w:val="20"/>
          <w:szCs w:val="20"/>
          <w:lang w:eastAsia="it-IT"/>
        </w:rPr>
        <w:t xml:space="preserve"> S.c. a </w:t>
      </w:r>
      <w:proofErr w:type="spellStart"/>
      <w:r w:rsidRPr="005D4A03">
        <w:rPr>
          <w:rFonts w:eastAsia="Times New Roman" w:cstheme="minorHAnsi"/>
          <w:color w:val="3D3B39"/>
          <w:sz w:val="20"/>
          <w:szCs w:val="20"/>
          <w:lang w:eastAsia="it-IT"/>
        </w:rPr>
        <w:t>r.l</w:t>
      </w:r>
      <w:proofErr w:type="spellEnd"/>
      <w:r w:rsidRPr="005D4A03">
        <w:rPr>
          <w:rFonts w:eastAsia="Times New Roman" w:cstheme="minorHAnsi"/>
          <w:color w:val="3D3B39"/>
          <w:sz w:val="20"/>
          <w:szCs w:val="20"/>
          <w:lang w:eastAsia="it-IT"/>
        </w:rPr>
        <w:t xml:space="preserve">., nella qualità in epigrafe, ha avanzato un unico articolato motivo di appello, col quale ha denunciato “erroneità della sentenza gravata nella parte in cui ha respinto le censure prospettate con motivi aggiunti con riferimento al secondo motivo di esclusione di </w:t>
      </w:r>
      <w:proofErr w:type="spellStart"/>
      <w:r w:rsidRPr="005D4A03">
        <w:rPr>
          <w:rFonts w:eastAsia="Times New Roman" w:cstheme="minorHAnsi"/>
          <w:color w:val="3D3B39"/>
          <w:sz w:val="20"/>
          <w:szCs w:val="20"/>
          <w:lang w:eastAsia="it-IT"/>
        </w:rPr>
        <w:t>Unimed</w:t>
      </w:r>
      <w:proofErr w:type="spellEnd"/>
      <w:r w:rsidRPr="005D4A03">
        <w:rPr>
          <w:rFonts w:eastAsia="Times New Roman" w:cstheme="minorHAnsi"/>
          <w:color w:val="3D3B39"/>
          <w:sz w:val="20"/>
          <w:szCs w:val="20"/>
          <w:lang w:eastAsia="it-IT"/>
        </w:rPr>
        <w:t xml:space="preserve"> dalla gara”.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4. </w:t>
      </w:r>
      <w:proofErr w:type="spellStart"/>
      <w:r w:rsidRPr="005D4A03">
        <w:rPr>
          <w:rFonts w:eastAsia="Times New Roman" w:cstheme="minorHAnsi"/>
          <w:color w:val="3D3B39"/>
          <w:sz w:val="20"/>
          <w:szCs w:val="20"/>
          <w:lang w:eastAsia="it-IT"/>
        </w:rPr>
        <w:t>Tecnis</w:t>
      </w:r>
      <w:proofErr w:type="spellEnd"/>
      <w:r w:rsidRPr="005D4A03">
        <w:rPr>
          <w:rFonts w:eastAsia="Times New Roman" w:cstheme="minorHAnsi"/>
          <w:color w:val="3D3B39"/>
          <w:sz w:val="20"/>
          <w:szCs w:val="20"/>
          <w:lang w:eastAsia="it-IT"/>
        </w:rPr>
        <w:t xml:space="preserve"> S.p.A. in amministrazione straordinaria, Rete Ferroviaria Italiana (RFI) S.p.A., </w:t>
      </w:r>
      <w:proofErr w:type="spellStart"/>
      <w:r w:rsidRPr="005D4A03">
        <w:rPr>
          <w:rFonts w:eastAsia="Times New Roman" w:cstheme="minorHAnsi"/>
          <w:color w:val="3D3B39"/>
          <w:sz w:val="20"/>
          <w:szCs w:val="20"/>
          <w:lang w:eastAsia="it-IT"/>
        </w:rPr>
        <w:t>Italferr</w:t>
      </w:r>
      <w:proofErr w:type="spellEnd"/>
      <w:r w:rsidRPr="005D4A03">
        <w:rPr>
          <w:rFonts w:eastAsia="Times New Roman" w:cstheme="minorHAnsi"/>
          <w:color w:val="3D3B39"/>
          <w:sz w:val="20"/>
          <w:szCs w:val="20"/>
          <w:lang w:eastAsia="it-IT"/>
        </w:rPr>
        <w:t xml:space="preserve"> S.p.A., nonché ANAC- Autorità Nazionale Anticorruzione, Agenzia delle Entrate- Riscossione ed Agenzia delle Entrate hanno resistito al gravame, chiedendone il rigetto ed illustrando con apposite memorie conclusive le proprie tesi difensive, cui l’appellante ha ritualmente replicato.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5. Alla pubblica udienza del 3 maggio 2018 la causa è stata trattenuta in decisione.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6. Preliminarmente vanno disattese le eccezioni di inammissibilità ed improcedibilità del gravame sollevate dalle parti </w:t>
      </w:r>
      <w:r w:rsidRPr="005D4A03">
        <w:rPr>
          <w:rFonts w:eastAsia="Times New Roman" w:cstheme="minorHAnsi"/>
          <w:color w:val="3D3B39"/>
          <w:sz w:val="20"/>
          <w:szCs w:val="20"/>
          <w:lang w:eastAsia="it-IT"/>
        </w:rPr>
        <w:lastRenderedPageBreak/>
        <w:t xml:space="preserve">appellate per asserita carenza di interesse, per essere nelle more del presente giudizio intervenuta l’aggiudicazione definitiva in favore del RTI </w:t>
      </w:r>
      <w:proofErr w:type="spellStart"/>
      <w:r w:rsidRPr="005D4A03">
        <w:rPr>
          <w:rFonts w:eastAsia="Times New Roman" w:cstheme="minorHAnsi"/>
          <w:color w:val="3D3B39"/>
          <w:sz w:val="20"/>
          <w:szCs w:val="20"/>
          <w:lang w:eastAsia="it-IT"/>
        </w:rPr>
        <w:t>Tecnis</w:t>
      </w:r>
      <w:proofErr w:type="spellEnd"/>
      <w:r w:rsidRPr="005D4A03">
        <w:rPr>
          <w:rFonts w:eastAsia="Times New Roman" w:cstheme="minorHAnsi"/>
          <w:color w:val="3D3B39"/>
          <w:sz w:val="20"/>
          <w:szCs w:val="20"/>
          <w:lang w:eastAsia="it-IT"/>
        </w:rPr>
        <w:t xml:space="preserve"> S.p.A.- </w:t>
      </w:r>
      <w:proofErr w:type="spellStart"/>
      <w:r w:rsidRPr="005D4A03">
        <w:rPr>
          <w:rFonts w:eastAsia="Times New Roman" w:cstheme="minorHAnsi"/>
          <w:color w:val="3D3B39"/>
          <w:sz w:val="20"/>
          <w:szCs w:val="20"/>
          <w:lang w:eastAsia="it-IT"/>
        </w:rPr>
        <w:t>Sintec</w:t>
      </w:r>
      <w:proofErr w:type="spellEnd"/>
      <w:r w:rsidRPr="005D4A03">
        <w:rPr>
          <w:rFonts w:eastAsia="Times New Roman" w:cstheme="minorHAnsi"/>
          <w:color w:val="3D3B39"/>
          <w:sz w:val="20"/>
          <w:szCs w:val="20"/>
          <w:lang w:eastAsia="it-IT"/>
        </w:rPr>
        <w:t>, giusta provvedimento in data 2 febbraio 2018, non impugnato.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Invero, malgrado tale mancata impugnazione, permane l’interesse dell’appellante all’annullamento del provvedimento di esclusione dalla gara, nonché alla riforma della sentenza che ha respinto i corrispondenti motivi aggiunti, al fine di mantenere la posizione di seconda classificata: infatti, essendo stato frattanto respinto il ricorso proposto dalla Grandi Lavori </w:t>
      </w:r>
      <w:proofErr w:type="spellStart"/>
      <w:r w:rsidRPr="005D4A03">
        <w:rPr>
          <w:rFonts w:eastAsia="Times New Roman" w:cstheme="minorHAnsi"/>
          <w:color w:val="3D3B39"/>
          <w:sz w:val="20"/>
          <w:szCs w:val="20"/>
          <w:lang w:eastAsia="it-IT"/>
        </w:rPr>
        <w:t>Fincosit</w:t>
      </w:r>
      <w:proofErr w:type="spellEnd"/>
      <w:r w:rsidRPr="005D4A03">
        <w:rPr>
          <w:rFonts w:eastAsia="Times New Roman" w:cstheme="minorHAnsi"/>
          <w:color w:val="3D3B39"/>
          <w:sz w:val="20"/>
          <w:szCs w:val="20"/>
          <w:lang w:eastAsia="it-IT"/>
        </w:rPr>
        <w:t xml:space="preserve"> ed essendo quindi stata confermata l’esclusione dalla procedura di gara della originaria seconda classificata, la domanda di riammissione in gara del Consorzio </w:t>
      </w:r>
      <w:proofErr w:type="spellStart"/>
      <w:r w:rsidRPr="005D4A03">
        <w:rPr>
          <w:rFonts w:eastAsia="Times New Roman" w:cstheme="minorHAnsi"/>
          <w:color w:val="3D3B39"/>
          <w:sz w:val="20"/>
          <w:szCs w:val="20"/>
          <w:lang w:eastAsia="it-IT"/>
        </w:rPr>
        <w:t>Unimed</w:t>
      </w:r>
      <w:proofErr w:type="spellEnd"/>
      <w:r w:rsidRPr="005D4A03">
        <w:rPr>
          <w:rFonts w:eastAsia="Times New Roman" w:cstheme="minorHAnsi"/>
          <w:color w:val="3D3B39"/>
          <w:sz w:val="20"/>
          <w:szCs w:val="20"/>
          <w:lang w:eastAsia="it-IT"/>
        </w:rPr>
        <w:t xml:space="preserve"> e di collocazione al secondo posto della graduatoria finale è di per sé sufficiente a sorreggere la presente impugnazione, ferma restando l’aggiudicazione definitiva in favore di </w:t>
      </w:r>
      <w:proofErr w:type="spellStart"/>
      <w:r w:rsidRPr="005D4A03">
        <w:rPr>
          <w:rFonts w:eastAsia="Times New Roman" w:cstheme="minorHAnsi"/>
          <w:color w:val="3D3B39"/>
          <w:sz w:val="20"/>
          <w:szCs w:val="20"/>
          <w:lang w:eastAsia="it-IT"/>
        </w:rPr>
        <w:t>Tecnis</w:t>
      </w:r>
      <w:proofErr w:type="spellEnd"/>
      <w:r w:rsidRPr="005D4A03">
        <w:rPr>
          <w:rFonts w:eastAsia="Times New Roman" w:cstheme="minorHAnsi"/>
          <w:color w:val="3D3B39"/>
          <w:sz w:val="20"/>
          <w:szCs w:val="20"/>
          <w:lang w:eastAsia="it-IT"/>
        </w:rPr>
        <w:t>, avendo l’appellante dichiarato di non aspirare all’aggiudicazione, bensì alla collocazione utile nella graduatoria per l’eventualità di un ulteriore scorrimento della stessa o della eventuale attivazione della procedura di interpello per vicende attinenti alla fase della (ulteriore) verifica dei requisiti in capo all’aggiudicataria o alla fase esecutiva dell’appalto.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7. Passando all’esame dell’appello, la Sezione osserva quanto segue.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7.1. Col ricorso per motivi aggiunti nel giudizio di primo grado il Consorzio </w:t>
      </w:r>
      <w:proofErr w:type="spellStart"/>
      <w:r w:rsidRPr="005D4A03">
        <w:rPr>
          <w:rFonts w:eastAsia="Times New Roman" w:cstheme="minorHAnsi"/>
          <w:color w:val="3D3B39"/>
          <w:sz w:val="20"/>
          <w:szCs w:val="20"/>
          <w:lang w:eastAsia="it-IT"/>
        </w:rPr>
        <w:t>Unimed</w:t>
      </w:r>
      <w:proofErr w:type="spellEnd"/>
      <w:r w:rsidRPr="005D4A03">
        <w:rPr>
          <w:rFonts w:eastAsia="Times New Roman" w:cstheme="minorHAnsi"/>
          <w:color w:val="3D3B39"/>
          <w:sz w:val="20"/>
          <w:szCs w:val="20"/>
          <w:lang w:eastAsia="it-IT"/>
        </w:rPr>
        <w:t xml:space="preserve"> aveva contestato che la stazione appaltante avesse basato il secondo provvedimento di esclusione sulla notificazione alla consorziata di due cartelle di pagamento, ritenendo definitivamente accertata l’irregolarità fiscale ai sensi dell’art. 38, primo comma, </w:t>
      </w:r>
      <w:proofErr w:type="spellStart"/>
      <w:r w:rsidRPr="005D4A03">
        <w:rPr>
          <w:rFonts w:eastAsia="Times New Roman" w:cstheme="minorHAnsi"/>
          <w:color w:val="3D3B39"/>
          <w:sz w:val="20"/>
          <w:szCs w:val="20"/>
          <w:lang w:eastAsia="it-IT"/>
        </w:rPr>
        <w:t>lett</w:t>
      </w:r>
      <w:proofErr w:type="spellEnd"/>
      <w:r w:rsidRPr="005D4A03">
        <w:rPr>
          <w:rFonts w:eastAsia="Times New Roman" w:cstheme="minorHAnsi"/>
          <w:color w:val="3D3B39"/>
          <w:sz w:val="20"/>
          <w:szCs w:val="20"/>
          <w:lang w:eastAsia="it-IT"/>
        </w:rPr>
        <w:t xml:space="preserve">. g), del d.lgs. n. 163 del 2006 (applicabile </w:t>
      </w:r>
      <w:proofErr w:type="spellStart"/>
      <w:r w:rsidRPr="005D4A03">
        <w:rPr>
          <w:rFonts w:eastAsia="Times New Roman" w:cstheme="minorHAnsi"/>
          <w:color w:val="3D3B39"/>
          <w:sz w:val="20"/>
          <w:szCs w:val="20"/>
          <w:lang w:eastAsia="it-IT"/>
        </w:rPr>
        <w:t>ratione</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temporis</w:t>
      </w:r>
      <w:proofErr w:type="spellEnd"/>
      <w:r w:rsidRPr="005D4A03">
        <w:rPr>
          <w:rFonts w:eastAsia="Times New Roman" w:cstheme="minorHAnsi"/>
          <w:color w:val="3D3B39"/>
          <w:sz w:val="20"/>
          <w:szCs w:val="20"/>
          <w:lang w:eastAsia="it-IT"/>
        </w:rPr>
        <w:t xml:space="preserve">), sulla base delle sole certificazioni trasmesse dall’Agenzia delle Entrate, senza considerare che la </w:t>
      </w:r>
      <w:proofErr w:type="spellStart"/>
      <w:r w:rsidRPr="005D4A03">
        <w:rPr>
          <w:rFonts w:eastAsia="Times New Roman" w:cstheme="minorHAnsi"/>
          <w:color w:val="3D3B39"/>
          <w:sz w:val="20"/>
          <w:szCs w:val="20"/>
          <w:lang w:eastAsia="it-IT"/>
        </w:rPr>
        <w:t>Primos</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Engeneering</w:t>
      </w:r>
      <w:proofErr w:type="spellEnd"/>
      <w:r w:rsidRPr="005D4A03">
        <w:rPr>
          <w:rFonts w:eastAsia="Times New Roman" w:cstheme="minorHAnsi"/>
          <w:color w:val="3D3B39"/>
          <w:sz w:val="20"/>
          <w:szCs w:val="20"/>
          <w:lang w:eastAsia="it-IT"/>
        </w:rPr>
        <w:t xml:space="preserve"> S.r.l., destinataria dell’accertamento fiscale, aveva presentato tempestiva istanza di rateizzazione, che era stata accolta dall’esattore, sicché la violazione tributaria non si sarebbe potuta ritenere come “definitivamente accertata” ai sensi della norma predetta. Il Consorzio ricorrente aveva inoltre contestato la regolarità dell’accertamento tributario e l’ammontare delle somme dovute ed aveva lamentato il mancato accoglimento da parte dell’amministrazione resistente dell’istanza di sostituzione della consorziata </w:t>
      </w:r>
      <w:proofErr w:type="spellStart"/>
      <w:r w:rsidRPr="005D4A03">
        <w:rPr>
          <w:rFonts w:eastAsia="Times New Roman" w:cstheme="minorHAnsi"/>
          <w:color w:val="3D3B39"/>
          <w:sz w:val="20"/>
          <w:szCs w:val="20"/>
          <w:lang w:eastAsia="it-IT"/>
        </w:rPr>
        <w:t>asseritamente</w:t>
      </w:r>
      <w:proofErr w:type="spellEnd"/>
      <w:r w:rsidRPr="005D4A03">
        <w:rPr>
          <w:rFonts w:eastAsia="Times New Roman" w:cstheme="minorHAnsi"/>
          <w:color w:val="3D3B39"/>
          <w:sz w:val="20"/>
          <w:szCs w:val="20"/>
          <w:lang w:eastAsia="it-IT"/>
        </w:rPr>
        <w:t xml:space="preserve"> mancante del requisito fiscale.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7.2. La sentenza: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a)richiamati il tenore letterale del citato art. 38, primo comma, </w:t>
      </w:r>
      <w:proofErr w:type="spellStart"/>
      <w:r w:rsidRPr="005D4A03">
        <w:rPr>
          <w:rFonts w:eastAsia="Times New Roman" w:cstheme="minorHAnsi"/>
          <w:color w:val="3D3B39"/>
          <w:sz w:val="20"/>
          <w:szCs w:val="20"/>
          <w:lang w:eastAsia="it-IT"/>
        </w:rPr>
        <w:t>lett</w:t>
      </w:r>
      <w:proofErr w:type="spellEnd"/>
      <w:r w:rsidRPr="005D4A03">
        <w:rPr>
          <w:rFonts w:eastAsia="Times New Roman" w:cstheme="minorHAnsi"/>
          <w:color w:val="3D3B39"/>
          <w:sz w:val="20"/>
          <w:szCs w:val="20"/>
          <w:lang w:eastAsia="it-IT"/>
        </w:rPr>
        <w:t xml:space="preserve">. g), del D. </w:t>
      </w:r>
      <w:proofErr w:type="spellStart"/>
      <w:r w:rsidRPr="005D4A03">
        <w:rPr>
          <w:rFonts w:eastAsia="Times New Roman" w:cstheme="minorHAnsi"/>
          <w:color w:val="3D3B39"/>
          <w:sz w:val="20"/>
          <w:szCs w:val="20"/>
          <w:lang w:eastAsia="it-IT"/>
        </w:rPr>
        <w:t>Lgs</w:t>
      </w:r>
      <w:proofErr w:type="spellEnd"/>
      <w:r w:rsidRPr="005D4A03">
        <w:rPr>
          <w:rFonts w:eastAsia="Times New Roman" w:cstheme="minorHAnsi"/>
          <w:color w:val="3D3B39"/>
          <w:sz w:val="20"/>
          <w:szCs w:val="20"/>
          <w:lang w:eastAsia="it-IT"/>
        </w:rPr>
        <w:t xml:space="preserve">. n. 163 del 2006 e la giurisprudenza amministrativa sulla natura di atti di certificazione e/o attestazione assistiti da pubblica fede ex art. 2700 cod. civ., dei documenti rilasciati dall’Agenzia delle Entrate, relativamente alla posizione delle ditte concorrenti alle pubbliche gare (ai fini della verifica del possesso dei requisiti generali di cui all’art. 38 del d.lgs. n. 163 del 2006), ha ritenuto rilevante nel caso di specie “unicamente il fatto che la Stazione appaltante abbia proceduto a richiedere all’Agenzia delle Entrate – Direzione Provinciale di Bari la conferma della dichiarazione di possesso dei requisiti generali prodotta in sede di partecipazione dal Consorzio Stabile </w:t>
      </w:r>
      <w:proofErr w:type="spellStart"/>
      <w:r w:rsidRPr="005D4A03">
        <w:rPr>
          <w:rFonts w:eastAsia="Times New Roman" w:cstheme="minorHAnsi"/>
          <w:color w:val="3D3B39"/>
          <w:sz w:val="20"/>
          <w:szCs w:val="20"/>
          <w:lang w:eastAsia="it-IT"/>
        </w:rPr>
        <w:t>Unimed</w:t>
      </w:r>
      <w:proofErr w:type="spellEnd"/>
      <w:r w:rsidRPr="005D4A03">
        <w:rPr>
          <w:rFonts w:eastAsia="Times New Roman" w:cstheme="minorHAnsi"/>
          <w:color w:val="3D3B39"/>
          <w:sz w:val="20"/>
          <w:szCs w:val="20"/>
          <w:lang w:eastAsia="it-IT"/>
        </w:rPr>
        <w:t xml:space="preserve"> S.c. a </w:t>
      </w:r>
      <w:proofErr w:type="spellStart"/>
      <w:r w:rsidRPr="005D4A03">
        <w:rPr>
          <w:rFonts w:eastAsia="Times New Roman" w:cstheme="minorHAnsi"/>
          <w:color w:val="3D3B39"/>
          <w:sz w:val="20"/>
          <w:szCs w:val="20"/>
          <w:lang w:eastAsia="it-IT"/>
        </w:rPr>
        <w:t>r.l</w:t>
      </w:r>
      <w:proofErr w:type="spellEnd"/>
      <w:r w:rsidRPr="005D4A03">
        <w:rPr>
          <w:rFonts w:eastAsia="Times New Roman" w:cstheme="minorHAnsi"/>
          <w:color w:val="3D3B39"/>
          <w:sz w:val="20"/>
          <w:szCs w:val="20"/>
          <w:lang w:eastAsia="it-IT"/>
        </w:rPr>
        <w:t>. e che l’Agenzia delle Entrate abbia formulato apposito riscontro, dandone esito negativo”;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b) dato atto delle deduzioni del ricorrente circa l’avvenuta conoscenza della cartella di pagamento per la prima volta solo il 17 novembre 2015, ovvero successivamente al termine per la presentazione delle offerte (fissato al 30 aprile 2015) e circa la sua ammissione al pagamento dilazionato in data 8 gennaio 2016, ha ritenuto che il Consorzio avesse, in tal modo, “avuto un comportamento completamente acquiescente nei confronti della pretesa tributaria suddetta, essendosi limitato a richiedere il rateizzo della somma richiestagli”, così rendendo il debito tributario certo, sia </w:t>
      </w:r>
      <w:proofErr w:type="spellStart"/>
      <w:r w:rsidRPr="005D4A03">
        <w:rPr>
          <w:rFonts w:eastAsia="Times New Roman" w:cstheme="minorHAnsi"/>
          <w:color w:val="3D3B39"/>
          <w:sz w:val="20"/>
          <w:szCs w:val="20"/>
          <w:lang w:eastAsia="it-IT"/>
        </w:rPr>
        <w:t>nell’an</w:t>
      </w:r>
      <w:proofErr w:type="spellEnd"/>
      <w:r w:rsidRPr="005D4A03">
        <w:rPr>
          <w:rFonts w:eastAsia="Times New Roman" w:cstheme="minorHAnsi"/>
          <w:color w:val="3D3B39"/>
          <w:sz w:val="20"/>
          <w:szCs w:val="20"/>
          <w:lang w:eastAsia="it-IT"/>
        </w:rPr>
        <w:t xml:space="preserve"> che nel quantum, oltre che scaduto ed esigibile nei sensi richiesti dall’art. 38, comma 2, del d.lgs. n. 163 del 2006 (come da precedente di cui alla sentenza dell’Adunanza Plenaria del Consiglio di Stato, 5 giugno 2013, n. 15);</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c) precisato che il possesso del requisito di cui si discute è richiesto dalla legge non per la stipulazione del contratto, ma per la stessa partecipazione alla gara, sicché l’operatore economico deve essere in regola sia al momento della presentazione della domanda che per tutto lo svolgimento della gara, ha respinto la doglianza circa l’asserita non gravità della violazione, reputando che dovessero essere considerati, ai sensi del citato art. 38, non solo l’ammontare della pretesa fiscale (nel caso di specie pari ad € 7.735,49, inferiore alla soglia di legge), ma anche gli interessi e le sanzioni pecuniarie (che, nel caso di specie, avevano portato l’importo complessivo della cartella a € 12.055,18);</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d) ha respinto la censura di illegittimità dell’esclusione per non avere la stazione appaltante accolto la richiesta di sostituzione della consorziata gravata dalla causa di esclusione con altra società in possesso del prescritto requisito, in quanto, a differenza di quanto sostenuto dalla ricorrente (secondo cui tale sostituzione sarebbe stata possibile giacché il principio di </w:t>
      </w:r>
      <w:proofErr w:type="spellStart"/>
      <w:r w:rsidRPr="005D4A03">
        <w:rPr>
          <w:rFonts w:eastAsia="Times New Roman" w:cstheme="minorHAnsi"/>
          <w:color w:val="3D3B39"/>
          <w:sz w:val="20"/>
          <w:szCs w:val="20"/>
          <w:lang w:eastAsia="it-IT"/>
        </w:rPr>
        <w:t>immodificabilità</w:t>
      </w:r>
      <w:proofErr w:type="spellEnd"/>
      <w:r w:rsidRPr="005D4A03">
        <w:rPr>
          <w:rFonts w:eastAsia="Times New Roman" w:cstheme="minorHAnsi"/>
          <w:color w:val="3D3B39"/>
          <w:sz w:val="20"/>
          <w:szCs w:val="20"/>
          <w:lang w:eastAsia="it-IT"/>
        </w:rPr>
        <w:t xml:space="preserve"> soggettiva del concorrente rispetto agli impegni assunti in sede di offerta avrebbe riguardato –ai sensi dell’art. 37, comma 9, del previgente codice degli appalti- esclusivamente i raggruppamenti </w:t>
      </w:r>
      <w:r w:rsidRPr="005D4A03">
        <w:rPr>
          <w:rFonts w:eastAsia="Times New Roman" w:cstheme="minorHAnsi"/>
          <w:color w:val="3D3B39"/>
          <w:sz w:val="20"/>
          <w:szCs w:val="20"/>
          <w:lang w:eastAsia="it-IT"/>
        </w:rPr>
        <w:lastRenderedPageBreak/>
        <w:t xml:space="preserve">temporanei e i consorzi ordinari e non anche i consorzi stabili, come il Consorzio </w:t>
      </w:r>
      <w:proofErr w:type="spellStart"/>
      <w:r w:rsidRPr="005D4A03">
        <w:rPr>
          <w:rFonts w:eastAsia="Times New Roman" w:cstheme="minorHAnsi"/>
          <w:color w:val="3D3B39"/>
          <w:sz w:val="20"/>
          <w:szCs w:val="20"/>
          <w:lang w:eastAsia="it-IT"/>
        </w:rPr>
        <w:t>Unimed</w:t>
      </w:r>
      <w:proofErr w:type="spellEnd"/>
      <w:r w:rsidRPr="005D4A03">
        <w:rPr>
          <w:rFonts w:eastAsia="Times New Roman" w:cstheme="minorHAnsi"/>
          <w:color w:val="3D3B39"/>
          <w:sz w:val="20"/>
          <w:szCs w:val="20"/>
          <w:lang w:eastAsia="it-IT"/>
        </w:rPr>
        <w:t xml:space="preserve">), il principio di </w:t>
      </w:r>
      <w:proofErr w:type="spellStart"/>
      <w:r w:rsidRPr="005D4A03">
        <w:rPr>
          <w:rFonts w:eastAsia="Times New Roman" w:cstheme="minorHAnsi"/>
          <w:color w:val="3D3B39"/>
          <w:sz w:val="20"/>
          <w:szCs w:val="20"/>
          <w:lang w:eastAsia="it-IT"/>
        </w:rPr>
        <w:t>immodificabilità</w:t>
      </w:r>
      <w:proofErr w:type="spellEnd"/>
      <w:r w:rsidRPr="005D4A03">
        <w:rPr>
          <w:rFonts w:eastAsia="Times New Roman" w:cstheme="minorHAnsi"/>
          <w:color w:val="3D3B39"/>
          <w:sz w:val="20"/>
          <w:szCs w:val="20"/>
          <w:lang w:eastAsia="it-IT"/>
        </w:rPr>
        <w:t xml:space="preserve"> dei partecipanti è implicito nel sistema in caso di organizzazioni stabili di imprese, ed in particolare nel caso dei consorzi stabili ai sensi dell’art. 36 del d.lgs. n. 163 del 2006, e non richiede un’esplicita previsione normativa, come da orientamento giurisprudenziale conforme, richiamato in motivazione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Stato, 23 febbraio 2017, n. 849; id., 10 aprile 2017, n. 1676).</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7.3. Con il motivo di appello formalmente unico vengono in realtà dedotte le seguenti censure: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 violazione e/o falsa applicazione artt. 36 e 38, co. 1, </w:t>
      </w:r>
      <w:proofErr w:type="spellStart"/>
      <w:r w:rsidRPr="005D4A03">
        <w:rPr>
          <w:rFonts w:eastAsia="Times New Roman" w:cstheme="minorHAnsi"/>
          <w:color w:val="3D3B39"/>
          <w:sz w:val="20"/>
          <w:szCs w:val="20"/>
          <w:lang w:eastAsia="it-IT"/>
        </w:rPr>
        <w:t>lett</w:t>
      </w:r>
      <w:proofErr w:type="spellEnd"/>
      <w:r w:rsidRPr="005D4A03">
        <w:rPr>
          <w:rFonts w:eastAsia="Times New Roman" w:cstheme="minorHAnsi"/>
          <w:color w:val="3D3B39"/>
          <w:sz w:val="20"/>
          <w:szCs w:val="20"/>
          <w:lang w:eastAsia="it-IT"/>
        </w:rPr>
        <w:t xml:space="preserve">. g), e co. 2, d.lgs. n. 163 del 2006;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 violazione e/o falsa applicazione del principio di proporzionalità, di buon andamento ed imparzialità ex art. 97 </w:t>
      </w:r>
      <w:proofErr w:type="spellStart"/>
      <w:r w:rsidRPr="005D4A03">
        <w:rPr>
          <w:rFonts w:eastAsia="Times New Roman" w:cstheme="minorHAnsi"/>
          <w:color w:val="3D3B39"/>
          <w:sz w:val="20"/>
          <w:szCs w:val="20"/>
          <w:lang w:eastAsia="it-IT"/>
        </w:rPr>
        <w:t>Cost</w:t>
      </w:r>
      <w:proofErr w:type="spellEnd"/>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 eccesso di potere per difetto di motivazione, sviamento, erronea presupposizione, irragionevolezza, abnormità, contraddittorietà, ingiustizia manifesta.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7.3.1. In primo luogo, l’appellante – precisato che la cartella di pagamento da considerare è una soltanto, essendo stata notificata una seconda cartella di pagamento emessa per l’importo di € 50,47, perciò inferiore alla soglia rilevante per legge (importo di € 10.000,00, ai sensi dell’art. 48 bis, commi 1 e 2 bis, </w:t>
      </w:r>
      <w:proofErr w:type="spellStart"/>
      <w:r w:rsidRPr="005D4A03">
        <w:rPr>
          <w:rFonts w:eastAsia="Times New Roman" w:cstheme="minorHAnsi"/>
          <w:color w:val="3D3B39"/>
          <w:sz w:val="20"/>
          <w:szCs w:val="20"/>
          <w:lang w:eastAsia="it-IT"/>
        </w:rPr>
        <w:t>d.P.R.</w:t>
      </w:r>
      <w:proofErr w:type="spellEnd"/>
      <w:r w:rsidRPr="005D4A03">
        <w:rPr>
          <w:rFonts w:eastAsia="Times New Roman" w:cstheme="minorHAnsi"/>
          <w:color w:val="3D3B39"/>
          <w:sz w:val="20"/>
          <w:szCs w:val="20"/>
          <w:lang w:eastAsia="it-IT"/>
        </w:rPr>
        <w:t xml:space="preserve"> n. 602 del 1973, richiamato dall’art. 38, comma 2, del d.lgs. n. 163 del 2006) - torna a sostenere che, avendo </w:t>
      </w:r>
      <w:proofErr w:type="spellStart"/>
      <w:r w:rsidRPr="005D4A03">
        <w:rPr>
          <w:rFonts w:eastAsia="Times New Roman" w:cstheme="minorHAnsi"/>
          <w:color w:val="3D3B39"/>
          <w:sz w:val="20"/>
          <w:szCs w:val="20"/>
          <w:lang w:eastAsia="it-IT"/>
        </w:rPr>
        <w:t>Equitalia</w:t>
      </w:r>
      <w:proofErr w:type="spellEnd"/>
      <w:r w:rsidRPr="005D4A03">
        <w:rPr>
          <w:rFonts w:eastAsia="Times New Roman" w:cstheme="minorHAnsi"/>
          <w:color w:val="3D3B39"/>
          <w:sz w:val="20"/>
          <w:szCs w:val="20"/>
          <w:lang w:eastAsia="it-IT"/>
        </w:rPr>
        <w:t xml:space="preserve"> accettato l’istanza di rateizzazione in data 8 gennaio 2016, quando ancora non era scaduto il termine per l’impugnazione dell’unica cartella di pagamento rilevante ai fini della sussistenza del requisito di cui all’art. 38, comma 1, </w:t>
      </w:r>
      <w:proofErr w:type="spellStart"/>
      <w:r w:rsidRPr="005D4A03">
        <w:rPr>
          <w:rFonts w:eastAsia="Times New Roman" w:cstheme="minorHAnsi"/>
          <w:color w:val="3D3B39"/>
          <w:sz w:val="20"/>
          <w:szCs w:val="20"/>
          <w:lang w:eastAsia="it-IT"/>
        </w:rPr>
        <w:t>lett</w:t>
      </w:r>
      <w:proofErr w:type="spellEnd"/>
      <w:r w:rsidRPr="005D4A03">
        <w:rPr>
          <w:rFonts w:eastAsia="Times New Roman" w:cstheme="minorHAnsi"/>
          <w:color w:val="3D3B39"/>
          <w:sz w:val="20"/>
          <w:szCs w:val="20"/>
          <w:lang w:eastAsia="it-IT"/>
        </w:rPr>
        <w:t>. g), del d.lgs. n. 163 del 2006, notificata il 17 novembre 2015, la relativa violazione non si sarebbe potuta considerare come “definitivamente accertata”.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In particolare, secondo l’appellante, mancherebbe in radice il carattere della “definitività” dell’accertamento, perché:</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nel termine di 60 giorni dalla notificazione il contribuente può, alternativamente: adempiere al pagamento; impugnare la cartella dinanzi alla Commissione tributaria; proporre richiesta di riesame per l’annullamento del ruolo; proporre istanza di reclamo-mediazione; presentare domanda di rateizzazione;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come da indicazioni fornite agli uffici locali con Circolare dell’Agenzia delle Entrate 34/E del 25 maggio 2007, si dovrebbero ritenere definitivamente accertate solo le violazioni divenute incontestabili per decisione giurisdizionale oppure inoppugnabili per decorso dei sessanta giorni, senza che il contribuente abbia provveduto all’impugnazione od alla regolarizzazione della posizione fiscale mediante estinzione o rateizzazione del debito;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 in senso analogo sarebbero la giurisprudenza amministrativa (in particolare,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Stato, III, 21 luglio 2017, n. 3614), nonché la recente direttiva UE n. 24 del 26 febbraio 2014;</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 non potrebbe giungersi a differente conclusione per il fatto che la notificazione della cartella di pagamento sia intervenuta in corso di gara, in quanto la giurisprudenza amministrativa ha chiarito che, anche in tale eventualità, si deve escludere il carattere di definitività dell’obbligazione tributaria se la cartella o l’intimazione di pagamento sia stata tempestivamente impugnata o se le situazioni di irregolarità sopravvenute nel corso della gara siano state tempestivamente rimosse prima della stipulazione del contratto, come da precedenti citati nell’atto di appello (in particolare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xml:space="preserve">. Stato, V, 23 febbraio 2017, n. 849 e id., 17 gennaio 2013, n. 261).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7.3.2. Alla luce delle precedenti considerazioni l’appellante sostiene che la temporanea irregolarità fiscale della </w:t>
      </w:r>
      <w:proofErr w:type="spellStart"/>
      <w:r w:rsidRPr="005D4A03">
        <w:rPr>
          <w:rFonts w:eastAsia="Times New Roman" w:cstheme="minorHAnsi"/>
          <w:color w:val="3D3B39"/>
          <w:sz w:val="20"/>
          <w:szCs w:val="20"/>
          <w:lang w:eastAsia="it-IT"/>
        </w:rPr>
        <w:t>Primos</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Engineering</w:t>
      </w:r>
      <w:proofErr w:type="spellEnd"/>
      <w:r w:rsidRPr="005D4A03">
        <w:rPr>
          <w:rFonts w:eastAsia="Times New Roman" w:cstheme="minorHAnsi"/>
          <w:color w:val="3D3B39"/>
          <w:sz w:val="20"/>
          <w:szCs w:val="20"/>
          <w:lang w:eastAsia="it-IT"/>
        </w:rPr>
        <w:t xml:space="preserve"> S.r.l. non inciderebbe sul possesso del requisito fiscale posto che: alla data di presentazione della domanda di partecipazione (20 aprile 2015), ed anche successivamente, alla chiusura del termine per la presentazione delle offerte, non vi era alcuna pendenza debitoria; la rateizzazione del debito è stata ottenuta in data 8 gennaio 2016, quando ancora non era spirato il termine (18 gennaio 2016) per l’impugnazione della cartella esattoriale e la pendenza debitoria non aveva acquisito il carattere della definitività; il piano di rateizzazione è stato conseguito in un momento antecedente (8 gennaio 2016) ai controlli effettuati da </w:t>
      </w:r>
      <w:proofErr w:type="spellStart"/>
      <w:r w:rsidRPr="005D4A03">
        <w:rPr>
          <w:rFonts w:eastAsia="Times New Roman" w:cstheme="minorHAnsi"/>
          <w:color w:val="3D3B39"/>
          <w:sz w:val="20"/>
          <w:szCs w:val="20"/>
          <w:lang w:eastAsia="it-IT"/>
        </w:rPr>
        <w:t>Italferr</w:t>
      </w:r>
      <w:proofErr w:type="spellEnd"/>
      <w:r w:rsidRPr="005D4A03">
        <w:rPr>
          <w:rFonts w:eastAsia="Times New Roman" w:cstheme="minorHAnsi"/>
          <w:color w:val="3D3B39"/>
          <w:sz w:val="20"/>
          <w:szCs w:val="20"/>
          <w:lang w:eastAsia="it-IT"/>
        </w:rPr>
        <w:t xml:space="preserve"> S.p.A. ai fini della verifica del possesso dei requisiti del RTI </w:t>
      </w:r>
      <w:proofErr w:type="spellStart"/>
      <w:r w:rsidRPr="005D4A03">
        <w:rPr>
          <w:rFonts w:eastAsia="Times New Roman" w:cstheme="minorHAnsi"/>
          <w:color w:val="3D3B39"/>
          <w:sz w:val="20"/>
          <w:szCs w:val="20"/>
          <w:lang w:eastAsia="it-IT"/>
        </w:rPr>
        <w:t>Unimed</w:t>
      </w:r>
      <w:proofErr w:type="spellEnd"/>
      <w:r w:rsidRPr="005D4A03">
        <w:rPr>
          <w:rFonts w:eastAsia="Times New Roman" w:cstheme="minorHAnsi"/>
          <w:color w:val="3D3B39"/>
          <w:sz w:val="20"/>
          <w:szCs w:val="20"/>
          <w:lang w:eastAsia="it-IT"/>
        </w:rPr>
        <w:t xml:space="preserve"> (11 luglio 2016) e non invece per dar seguito ad un invito della stazione appaltante; quindi, la regolarizzazione è intervenuta spontaneamente ed in un momento anteriore al controllo operato da quest’ultima.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7.3.3. Viene inoltre censurato il richiamo fatto dalla sentenza appellata al precedente di cui all’Adunanza plenaria, 5 giugno 2013, n. 15, atteso che il principio ivi affermato è riferito alla diversa fattispecie, in cui il concorrente aveva conseguito l’ammissione al beneficio della rateizzazione oltre il termine di decadenza di 60 giorni per l’impugnazione </w:t>
      </w:r>
      <w:r w:rsidRPr="005D4A03">
        <w:rPr>
          <w:rFonts w:eastAsia="Times New Roman" w:cstheme="minorHAnsi"/>
          <w:color w:val="3D3B39"/>
          <w:sz w:val="20"/>
          <w:szCs w:val="20"/>
          <w:lang w:eastAsia="it-IT"/>
        </w:rPr>
        <w:lastRenderedPageBreak/>
        <w:t>della cartella esattoriale, allorquando perciò la violazione tributaria aveva assunto oramai carattere definitivo per essere contenuta in un atto non più impugnabile.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Nel caso di specie, il debito non era ancora definitivamente accertato quando era stata accolta l’istanza di rateizzazione. Secondo l’appellante, a quest’ultima istanza, il Tar, mal applicando il principio espresso dall’Adunanza plenaria, avrebbe attribuito un significato di acquiescenza alla pretesa tributaria, che contrasta sia col sistema –in quanto la richiesta di rateizzazione non impedisce la proposizione del ricorso giurisdizionale alla Commissione tributaria- sia con la giurisprudenza di legittimità in materia tributaria - in quanto si è escluso che la richiesta di rateizzazione costituisca acquiescenza o rinuncia a contestare le somme pretese dall’Amministrazione (cfr. </w:t>
      </w:r>
      <w:proofErr w:type="spellStart"/>
      <w:r w:rsidRPr="005D4A03">
        <w:rPr>
          <w:rFonts w:eastAsia="Times New Roman" w:cstheme="minorHAnsi"/>
          <w:color w:val="3D3B39"/>
          <w:sz w:val="20"/>
          <w:szCs w:val="20"/>
          <w:lang w:eastAsia="it-IT"/>
        </w:rPr>
        <w:t>Cass</w:t>
      </w:r>
      <w:proofErr w:type="spellEnd"/>
      <w:r w:rsidRPr="005D4A03">
        <w:rPr>
          <w:rFonts w:eastAsia="Times New Roman" w:cstheme="minorHAnsi"/>
          <w:color w:val="3D3B39"/>
          <w:sz w:val="20"/>
          <w:szCs w:val="20"/>
          <w:lang w:eastAsia="it-IT"/>
        </w:rPr>
        <w:t>., sez. V, 8 febbraio 2017, n. 3347).</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La corretta interpretazione delle norme richiamate, ed in specie dell’art. 38 del d.lgs. n. 163 del 2006, avrebbe dovuto indurre a ritenere irrilevante l’irregolarità fiscale meramente temporanea, avendo la società contribuente estinto l’obbligazione con immediatezza nel corso della procedura ed anteriormente ai controlli effettuati dalla stazione appaltante.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7.3.4. Infine, l’appellante contesta l’affermazione della sentenza secondo cui </w:t>
      </w:r>
      <w:proofErr w:type="spellStart"/>
      <w:r w:rsidRPr="005D4A03">
        <w:rPr>
          <w:rFonts w:eastAsia="Times New Roman" w:cstheme="minorHAnsi"/>
          <w:color w:val="3D3B39"/>
          <w:sz w:val="20"/>
          <w:szCs w:val="20"/>
          <w:lang w:eastAsia="it-IT"/>
        </w:rPr>
        <w:t>Italferr</w:t>
      </w:r>
      <w:proofErr w:type="spellEnd"/>
      <w:r w:rsidRPr="005D4A03">
        <w:rPr>
          <w:rFonts w:eastAsia="Times New Roman" w:cstheme="minorHAnsi"/>
          <w:color w:val="3D3B39"/>
          <w:sz w:val="20"/>
          <w:szCs w:val="20"/>
          <w:lang w:eastAsia="it-IT"/>
        </w:rPr>
        <w:t xml:space="preserve"> S.p.A. non avrebbe potuto effettuare alcuna valutazione discrezionale sul contenuto delle certificazioni dell’Ente esattore. Allo scopo, sono richiamati la sentenza dell’Adunanza plenaria di questo Consiglio di Stato del 29 febbraio 2016, n. 6 e le sentenze del giudice amministrativo che vi si sono conformate, nonché i principi analoghi affermati dalle Sezioni Unite della Corte di Cassazione, da ultimo con la sentenza del 29 marzo 2017, n. 8117.</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Dal punto di vista processuale, l’appellante precisa che la certificazione di cui trattasi è stata ritualmente impugnata (con i motivi aggiunti) unitamente al provvedimento di esclusione e che è stata evocata in giudizio anche l’Agenzia delle Entrate.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8. Le censure così sintetizzate (lettere da a) ad h) dell’appello) sono fondate e vanno accolte, con assorbimento di quelle restanti (le lettere i) ed l)).</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8.1. Occorre prendere le mosse dalla sentenza dell’Adunanza plenaria di questo Consiglio di Stato n. 6 del 2016, richiamata dall’appellante, seguita da altra pronuncia della stessa Adunanza plenaria, 25 maggio 2016, n. 10. Con entrambe si è preferita l’opzione interpretativa per la quale il giudice amministrativo può conoscere, senza travalicare i limiti della propria giurisdizione, la questione relativa alla sussistenza del requisito della regolarità contributiva, senza che occorra l’espressa impugnazione del DURC, oggetto solo di un sindacato </w:t>
      </w:r>
      <w:proofErr w:type="spellStart"/>
      <w:r w:rsidRPr="005D4A03">
        <w:rPr>
          <w:rFonts w:eastAsia="Times New Roman" w:cstheme="minorHAnsi"/>
          <w:color w:val="3D3B39"/>
          <w:sz w:val="20"/>
          <w:szCs w:val="20"/>
          <w:lang w:eastAsia="it-IT"/>
        </w:rPr>
        <w:t>incidenter</w:t>
      </w:r>
      <w:proofErr w:type="spellEnd"/>
      <w:r w:rsidRPr="005D4A03">
        <w:rPr>
          <w:rFonts w:eastAsia="Times New Roman" w:cstheme="minorHAnsi"/>
          <w:color w:val="3D3B39"/>
          <w:sz w:val="20"/>
          <w:szCs w:val="20"/>
          <w:lang w:eastAsia="it-IT"/>
        </w:rPr>
        <w:t xml:space="preserve"> tantum ai sensi dell’art. 8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Il principio, pur se affermato con riferimento ai documenti di regolarità contributiva rilasciati dagli enti previdenziali, è applicabile pure con riferimento alle certificazioni di regolarità fiscale rilasciate dall’Agenzia delle Entrate (così già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Stato, IV, 13 dicembre 2017, n. 5888) e va qui ribadito, anche in coerenza con il conforme indirizzo espresso dalle Sezioni Unite della Corte di Cassazione, secondo cui nelle controversie relative a procedure di affidamento di lavori, servizi o forniture da parte di soggetti tenuti al rispetto delle regole di evidenza pubblica, poiché la produzione della certificazione che attesta la regolarità contributiva dell'impresa partecipante alla gara di appalto (c.d. "</w:t>
      </w:r>
      <w:proofErr w:type="spellStart"/>
      <w:r w:rsidRPr="005D4A03">
        <w:rPr>
          <w:rFonts w:eastAsia="Times New Roman" w:cstheme="minorHAnsi"/>
          <w:color w:val="3D3B39"/>
          <w:sz w:val="20"/>
          <w:szCs w:val="20"/>
          <w:lang w:eastAsia="it-IT"/>
        </w:rPr>
        <w:t>durc</w:t>
      </w:r>
      <w:proofErr w:type="spellEnd"/>
      <w:r w:rsidRPr="005D4A03">
        <w:rPr>
          <w:rFonts w:eastAsia="Times New Roman" w:cstheme="minorHAnsi"/>
          <w:color w:val="3D3B39"/>
          <w:sz w:val="20"/>
          <w:szCs w:val="20"/>
          <w:lang w:eastAsia="it-IT"/>
        </w:rPr>
        <w:t>") costituisce uno dei requisiti posti dalla normativa di settore ai fini dell'ammissione alla gara, appartiene alla cognizione del giudice amministrativo verificare la regolarità di tale certificazione (</w:t>
      </w:r>
      <w:proofErr w:type="spellStart"/>
      <w:r w:rsidRPr="005D4A03">
        <w:rPr>
          <w:rFonts w:eastAsia="Times New Roman" w:cstheme="minorHAnsi"/>
          <w:color w:val="3D3B39"/>
          <w:sz w:val="20"/>
          <w:szCs w:val="20"/>
          <w:lang w:eastAsia="it-IT"/>
        </w:rPr>
        <w:t>Cass</w:t>
      </w:r>
      <w:proofErr w:type="spellEnd"/>
      <w:r w:rsidRPr="005D4A03">
        <w:rPr>
          <w:rFonts w:eastAsia="Times New Roman" w:cstheme="minorHAnsi"/>
          <w:color w:val="3D3B39"/>
          <w:sz w:val="20"/>
          <w:szCs w:val="20"/>
          <w:lang w:eastAsia="it-IT"/>
        </w:rPr>
        <w:t xml:space="preserve">. S.U. , 11 dicembre 2007, n. 25818 e id., 9 febbraio 2011, n. 3169, nonché, in motivazione, </w:t>
      </w:r>
      <w:proofErr w:type="spellStart"/>
      <w:r w:rsidRPr="005D4A03">
        <w:rPr>
          <w:rFonts w:eastAsia="Times New Roman" w:cstheme="minorHAnsi"/>
          <w:color w:val="3D3B39"/>
          <w:sz w:val="20"/>
          <w:szCs w:val="20"/>
          <w:lang w:eastAsia="it-IT"/>
        </w:rPr>
        <w:t>Cass</w:t>
      </w:r>
      <w:proofErr w:type="spellEnd"/>
      <w:r w:rsidRPr="005D4A03">
        <w:rPr>
          <w:rFonts w:eastAsia="Times New Roman" w:cstheme="minorHAnsi"/>
          <w:color w:val="3D3B39"/>
          <w:sz w:val="20"/>
          <w:szCs w:val="20"/>
          <w:lang w:eastAsia="it-IT"/>
        </w:rPr>
        <w:t>. S.U., 29 marzo 2017, n. 8117).</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Restano così superati i rilievi mossi dalle parti appellate - basati su arresti giurisprudenziali precedenti l’intervento dell’Adunanza plenaria - circa il carattere vincolante per la stazione appaltante dei certificati emessi dall’Agenzia delle Entrate – direzione provinciale di Bari, attestanti la sussistenza di violazioni tributarie a carico della consorziata </w:t>
      </w:r>
      <w:proofErr w:type="spellStart"/>
      <w:r w:rsidRPr="005D4A03">
        <w:rPr>
          <w:rFonts w:eastAsia="Times New Roman" w:cstheme="minorHAnsi"/>
          <w:color w:val="3D3B39"/>
          <w:sz w:val="20"/>
          <w:szCs w:val="20"/>
          <w:lang w:eastAsia="it-IT"/>
        </w:rPr>
        <w:t>Primos</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Engineering</w:t>
      </w:r>
      <w:proofErr w:type="spellEnd"/>
      <w:r w:rsidRPr="005D4A03">
        <w:rPr>
          <w:rFonts w:eastAsia="Times New Roman" w:cstheme="minorHAnsi"/>
          <w:color w:val="3D3B39"/>
          <w:sz w:val="20"/>
          <w:szCs w:val="20"/>
          <w:lang w:eastAsia="it-IT"/>
        </w:rPr>
        <w:t xml:space="preserve"> S.r.l..</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8.2. Pertanto, essendo consentita, nella presente sede giurisdizionale, la verifica della regolarità fiscale dell’impresa concorrente, sia pure </w:t>
      </w:r>
      <w:proofErr w:type="spellStart"/>
      <w:r w:rsidRPr="005D4A03">
        <w:rPr>
          <w:rFonts w:eastAsia="Times New Roman" w:cstheme="minorHAnsi"/>
          <w:color w:val="3D3B39"/>
          <w:sz w:val="20"/>
          <w:szCs w:val="20"/>
          <w:lang w:eastAsia="it-IT"/>
        </w:rPr>
        <w:t>incidenter</w:t>
      </w:r>
      <w:proofErr w:type="spellEnd"/>
      <w:r w:rsidRPr="005D4A03">
        <w:rPr>
          <w:rFonts w:eastAsia="Times New Roman" w:cstheme="minorHAnsi"/>
          <w:color w:val="3D3B39"/>
          <w:sz w:val="20"/>
          <w:szCs w:val="20"/>
          <w:lang w:eastAsia="it-IT"/>
        </w:rPr>
        <w:t xml:space="preserve"> tantum, la questione da dirimere attiene, in primo luogo, alla definitività o meno delle violazioni tributarie accertate, ai sensi e per gli effetti della sussistenza del requisito di cui all’art. 38, comma 1, </w:t>
      </w:r>
      <w:proofErr w:type="spellStart"/>
      <w:r w:rsidRPr="005D4A03">
        <w:rPr>
          <w:rFonts w:eastAsia="Times New Roman" w:cstheme="minorHAnsi"/>
          <w:color w:val="3D3B39"/>
          <w:sz w:val="20"/>
          <w:szCs w:val="20"/>
          <w:lang w:eastAsia="it-IT"/>
        </w:rPr>
        <w:t>lett</w:t>
      </w:r>
      <w:proofErr w:type="spellEnd"/>
      <w:r w:rsidRPr="005D4A03">
        <w:rPr>
          <w:rFonts w:eastAsia="Times New Roman" w:cstheme="minorHAnsi"/>
          <w:color w:val="3D3B39"/>
          <w:sz w:val="20"/>
          <w:szCs w:val="20"/>
          <w:lang w:eastAsia="it-IT"/>
        </w:rPr>
        <w:t xml:space="preserve">. g), del d.lgs. n. 163 del 2006 (per il quale sono esclusi dalla partecipazione alle procedure di affidamento degli appalti i soggetti che “hanno commesso violazioni gravi, definitivamente accertate, rispetto agli obblighi relativi al pagamento delle imposte e tasse, secondo la legislazione italiana […]”); in secondo luogo, attiene all’incidenza sulla situazione di possesso del requisito fiscale dell’istanza di rateizzazione presentata ed accolta nel termine di sessanta </w:t>
      </w:r>
      <w:r w:rsidRPr="005D4A03">
        <w:rPr>
          <w:rFonts w:eastAsia="Times New Roman" w:cstheme="minorHAnsi"/>
          <w:color w:val="3D3B39"/>
          <w:sz w:val="20"/>
          <w:szCs w:val="20"/>
          <w:lang w:eastAsia="it-IT"/>
        </w:rPr>
        <w:lastRenderedPageBreak/>
        <w:t>giorni decorrente dalla data di notificazione della cartella di pagamento.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La violazione tributaria “definitivamente accertata”, ai sensi della norma su richiamata, applicabile </w:t>
      </w:r>
      <w:proofErr w:type="spellStart"/>
      <w:r w:rsidRPr="005D4A03">
        <w:rPr>
          <w:rFonts w:eastAsia="Times New Roman" w:cstheme="minorHAnsi"/>
          <w:color w:val="3D3B39"/>
          <w:sz w:val="20"/>
          <w:szCs w:val="20"/>
          <w:lang w:eastAsia="it-IT"/>
        </w:rPr>
        <w:t>ratione</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temporis</w:t>
      </w:r>
      <w:proofErr w:type="spellEnd"/>
      <w:r w:rsidRPr="005D4A03">
        <w:rPr>
          <w:rFonts w:eastAsia="Times New Roman" w:cstheme="minorHAnsi"/>
          <w:color w:val="3D3B39"/>
          <w:sz w:val="20"/>
          <w:szCs w:val="20"/>
          <w:lang w:eastAsia="it-IT"/>
        </w:rPr>
        <w:t xml:space="preserve">, consegue alla sentenza passata in giudicato, con la quale sia respinto il ricorso del contribuente, ovvero alla definitività dell’accertamento in sede amministrativa, per la mancata impugnazione dell’atto impositivo nel termine di sessanta giorni dalla sua conoscenza (o legale conoscibilità) da parte del contribuente, senza che, nello stesso termine, questi abbia provveduto a regolarizzare la propria posizione, soddisfacendo la pretesa dell’Amministrazione finanziaria, anche mediante definizione agevolata. Tale ultima precisazione, oltre a risultare dalla circolare dell’Agenzia delle Entrate n. 34/E del 25 maggio 2007, richiamata da parte appellante, è consequenziale alla necessità che la violazione tributaria, che sia stata resa nota al contribuente, sia tuttora sussistente e non (più) contestabile (cfr.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Stato, V, 17 gennaio 2013, n. 261 e, di recente, id., 23 febbraio 2017, n. 849, a ragione citate dall’appellante).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Sebbene, come deduce l’appellata </w:t>
      </w:r>
      <w:proofErr w:type="spellStart"/>
      <w:r w:rsidRPr="005D4A03">
        <w:rPr>
          <w:rFonts w:eastAsia="Times New Roman" w:cstheme="minorHAnsi"/>
          <w:color w:val="3D3B39"/>
          <w:sz w:val="20"/>
          <w:szCs w:val="20"/>
          <w:lang w:eastAsia="it-IT"/>
        </w:rPr>
        <w:t>Tecnis</w:t>
      </w:r>
      <w:proofErr w:type="spellEnd"/>
      <w:r w:rsidRPr="005D4A03">
        <w:rPr>
          <w:rFonts w:eastAsia="Times New Roman" w:cstheme="minorHAnsi"/>
          <w:color w:val="3D3B39"/>
          <w:sz w:val="20"/>
          <w:szCs w:val="20"/>
          <w:lang w:eastAsia="it-IT"/>
        </w:rPr>
        <w:t xml:space="preserve"> S.p.A., con la notifica della cartella di pagamento i sottostanti accertamenti tributari debbano, di regola, ritenersi già definitivi (cfr.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xml:space="preserve">. Stato, V, 12 febbraio 2018, n. 856, che richiama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xml:space="preserve">. Stato, V, 5 maggio 2016, n. 1783), non va trascurato che, nel caso di specie, la cartella di pagamento in contestazione (avente il n.014 2015 0033667136) è stata emessa a seguito di controllo automatizzato, ai sensi degli artt. 36 bis del </w:t>
      </w:r>
      <w:proofErr w:type="spellStart"/>
      <w:r w:rsidRPr="005D4A03">
        <w:rPr>
          <w:rFonts w:eastAsia="Times New Roman" w:cstheme="minorHAnsi"/>
          <w:color w:val="3D3B39"/>
          <w:sz w:val="20"/>
          <w:szCs w:val="20"/>
          <w:lang w:eastAsia="it-IT"/>
        </w:rPr>
        <w:t>d.P.R.</w:t>
      </w:r>
      <w:proofErr w:type="spellEnd"/>
      <w:r w:rsidRPr="005D4A03">
        <w:rPr>
          <w:rFonts w:eastAsia="Times New Roman" w:cstheme="minorHAnsi"/>
          <w:color w:val="3D3B39"/>
          <w:sz w:val="20"/>
          <w:szCs w:val="20"/>
          <w:lang w:eastAsia="it-IT"/>
        </w:rPr>
        <w:t xml:space="preserve"> n.600 del 1973 e 54 bis del </w:t>
      </w:r>
      <w:proofErr w:type="spellStart"/>
      <w:r w:rsidRPr="005D4A03">
        <w:rPr>
          <w:rFonts w:eastAsia="Times New Roman" w:cstheme="minorHAnsi"/>
          <w:color w:val="3D3B39"/>
          <w:sz w:val="20"/>
          <w:szCs w:val="20"/>
          <w:lang w:eastAsia="it-IT"/>
        </w:rPr>
        <w:t>d.P.R.</w:t>
      </w:r>
      <w:proofErr w:type="spellEnd"/>
      <w:r w:rsidRPr="005D4A03">
        <w:rPr>
          <w:rFonts w:eastAsia="Times New Roman" w:cstheme="minorHAnsi"/>
          <w:color w:val="3D3B39"/>
          <w:sz w:val="20"/>
          <w:szCs w:val="20"/>
          <w:lang w:eastAsia="it-IT"/>
        </w:rPr>
        <w:t xml:space="preserve"> n. 633 del 1972, sicché, malgrado l'invio al contribuente della comunicazione di irregolarità (peraltro non sempre dovuta: cfr. , tra le altre, </w:t>
      </w:r>
      <w:proofErr w:type="spellStart"/>
      <w:r w:rsidRPr="005D4A03">
        <w:rPr>
          <w:rFonts w:eastAsia="Times New Roman" w:cstheme="minorHAnsi"/>
          <w:color w:val="3D3B39"/>
          <w:sz w:val="20"/>
          <w:szCs w:val="20"/>
          <w:lang w:eastAsia="it-IT"/>
        </w:rPr>
        <w:t>Cass</w:t>
      </w:r>
      <w:proofErr w:type="spellEnd"/>
      <w:r w:rsidRPr="005D4A03">
        <w:rPr>
          <w:rFonts w:eastAsia="Times New Roman" w:cstheme="minorHAnsi"/>
          <w:color w:val="3D3B39"/>
          <w:sz w:val="20"/>
          <w:szCs w:val="20"/>
          <w:lang w:eastAsia="it-IT"/>
        </w:rPr>
        <w:t xml:space="preserve">., sez. V, 6 luglio 2016, n. 13759 e, di recente, </w:t>
      </w:r>
      <w:proofErr w:type="spellStart"/>
      <w:r w:rsidRPr="005D4A03">
        <w:rPr>
          <w:rFonts w:eastAsia="Times New Roman" w:cstheme="minorHAnsi"/>
          <w:color w:val="3D3B39"/>
          <w:sz w:val="20"/>
          <w:szCs w:val="20"/>
          <w:lang w:eastAsia="it-IT"/>
        </w:rPr>
        <w:t>Cass</w:t>
      </w:r>
      <w:proofErr w:type="spellEnd"/>
      <w:r w:rsidRPr="005D4A03">
        <w:rPr>
          <w:rFonts w:eastAsia="Times New Roman" w:cstheme="minorHAnsi"/>
          <w:color w:val="3D3B39"/>
          <w:sz w:val="20"/>
          <w:szCs w:val="20"/>
          <w:lang w:eastAsia="it-IT"/>
        </w:rPr>
        <w:t xml:space="preserve">., sez. V, 24 gennaio 2018, n. 1711), la cartella esattoriale costituisce il primo atto col quale l’ente impositore ha esercitato la pretesa tributaria (cfr. </w:t>
      </w:r>
      <w:proofErr w:type="spellStart"/>
      <w:r w:rsidRPr="005D4A03">
        <w:rPr>
          <w:rFonts w:eastAsia="Times New Roman" w:cstheme="minorHAnsi"/>
          <w:color w:val="3D3B39"/>
          <w:sz w:val="20"/>
          <w:szCs w:val="20"/>
          <w:lang w:eastAsia="it-IT"/>
        </w:rPr>
        <w:t>Cass</w:t>
      </w:r>
      <w:proofErr w:type="spellEnd"/>
      <w:r w:rsidRPr="005D4A03">
        <w:rPr>
          <w:rFonts w:eastAsia="Times New Roman" w:cstheme="minorHAnsi"/>
          <w:color w:val="3D3B39"/>
          <w:sz w:val="20"/>
          <w:szCs w:val="20"/>
          <w:lang w:eastAsia="it-IT"/>
        </w:rPr>
        <w:t xml:space="preserve">., sez. V, </w:t>
      </w:r>
      <w:proofErr w:type="spellStart"/>
      <w:r w:rsidRPr="005D4A03">
        <w:rPr>
          <w:rFonts w:eastAsia="Times New Roman" w:cstheme="minorHAnsi"/>
          <w:color w:val="3D3B39"/>
          <w:sz w:val="20"/>
          <w:szCs w:val="20"/>
          <w:lang w:eastAsia="it-IT"/>
        </w:rPr>
        <w:t>ord</w:t>
      </w:r>
      <w:proofErr w:type="spellEnd"/>
      <w:r w:rsidRPr="005D4A03">
        <w:rPr>
          <w:rFonts w:eastAsia="Times New Roman" w:cstheme="minorHAnsi"/>
          <w:color w:val="3D3B39"/>
          <w:sz w:val="20"/>
          <w:szCs w:val="20"/>
          <w:lang w:eastAsia="it-IT"/>
        </w:rPr>
        <w:t xml:space="preserve">. 20 settembre 2017, n. 21804); inoltre, va evidenziato che la certificazione dell’Agenzia delle Entrate – Direzione provinciale di Bari Ufficio Territoriale di Bari, posta a fondamento del provvedimento di esclusione è confermativa della certificazione </w:t>
      </w:r>
      <w:proofErr w:type="spellStart"/>
      <w:r w:rsidRPr="005D4A03">
        <w:rPr>
          <w:rFonts w:eastAsia="Times New Roman" w:cstheme="minorHAnsi"/>
          <w:color w:val="3D3B39"/>
          <w:sz w:val="20"/>
          <w:szCs w:val="20"/>
          <w:lang w:eastAsia="it-IT"/>
        </w:rPr>
        <w:t>prot</w:t>
      </w:r>
      <w:proofErr w:type="spellEnd"/>
      <w:r w:rsidRPr="005D4A03">
        <w:rPr>
          <w:rFonts w:eastAsia="Times New Roman" w:cstheme="minorHAnsi"/>
          <w:color w:val="3D3B39"/>
          <w:sz w:val="20"/>
          <w:szCs w:val="20"/>
          <w:lang w:eastAsia="it-IT"/>
        </w:rPr>
        <w:t xml:space="preserve">. n. 742010 del 29 giugno/4 luglio 2016, nella quale è attestato che l’accertamento è divenuto definitivo soltanto a seguito della notificazione della cartella di pagamento predetta in data 17 novembre 2015.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Orbene, alla data in cui venne rilasciato tale ultimo certificato, cioè alla data del 4 luglio 2016 (ed alle date delle certificazioni successive, rilasciate da </w:t>
      </w:r>
      <w:proofErr w:type="spellStart"/>
      <w:r w:rsidRPr="005D4A03">
        <w:rPr>
          <w:rFonts w:eastAsia="Times New Roman" w:cstheme="minorHAnsi"/>
          <w:color w:val="3D3B39"/>
          <w:sz w:val="20"/>
          <w:szCs w:val="20"/>
          <w:lang w:eastAsia="it-IT"/>
        </w:rPr>
        <w:t>Equitalia</w:t>
      </w:r>
      <w:proofErr w:type="spellEnd"/>
      <w:r w:rsidRPr="005D4A03">
        <w:rPr>
          <w:rFonts w:eastAsia="Times New Roman" w:cstheme="minorHAnsi"/>
          <w:color w:val="3D3B39"/>
          <w:sz w:val="20"/>
          <w:szCs w:val="20"/>
          <w:lang w:eastAsia="it-IT"/>
        </w:rPr>
        <w:t xml:space="preserve"> il 23 settembre 2016 e dell’Agenzia delle Entrate il 27 settembre 2016), la società destinataria della cartella di pagamento aveva già richiesto ed ottenuto la rateizzazione del debito tributario (in data 8 gennaio 2016) ed aveva provveduto al pagamento delle rate scadute, riducendo l’importo ancora dovuto a somma inferiore a quella rilevante ai sensi dell’art. 48 bis del </w:t>
      </w:r>
      <w:proofErr w:type="spellStart"/>
      <w:r w:rsidRPr="005D4A03">
        <w:rPr>
          <w:rFonts w:eastAsia="Times New Roman" w:cstheme="minorHAnsi"/>
          <w:color w:val="3D3B39"/>
          <w:sz w:val="20"/>
          <w:szCs w:val="20"/>
          <w:lang w:eastAsia="it-IT"/>
        </w:rPr>
        <w:t>d.P.R.</w:t>
      </w:r>
      <w:proofErr w:type="spellEnd"/>
      <w:r w:rsidRPr="005D4A03">
        <w:rPr>
          <w:rFonts w:eastAsia="Times New Roman" w:cstheme="minorHAnsi"/>
          <w:color w:val="3D3B39"/>
          <w:sz w:val="20"/>
          <w:szCs w:val="20"/>
          <w:lang w:eastAsia="it-IT"/>
        </w:rPr>
        <w:t xml:space="preserve"> n. 602 del 1973.</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8.3. L’ammissione al beneficio della rateizzazione prima della scadenza del termine per l’impugnazione della cartella di pagamento ha comportato che la </w:t>
      </w:r>
      <w:proofErr w:type="spellStart"/>
      <w:r w:rsidRPr="005D4A03">
        <w:rPr>
          <w:rFonts w:eastAsia="Times New Roman" w:cstheme="minorHAnsi"/>
          <w:color w:val="3D3B39"/>
          <w:sz w:val="20"/>
          <w:szCs w:val="20"/>
          <w:lang w:eastAsia="it-IT"/>
        </w:rPr>
        <w:t>Primos</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Engineering</w:t>
      </w:r>
      <w:proofErr w:type="spellEnd"/>
      <w:r w:rsidRPr="005D4A03">
        <w:rPr>
          <w:rFonts w:eastAsia="Times New Roman" w:cstheme="minorHAnsi"/>
          <w:color w:val="3D3B39"/>
          <w:sz w:val="20"/>
          <w:szCs w:val="20"/>
          <w:lang w:eastAsia="it-IT"/>
        </w:rPr>
        <w:t xml:space="preserve"> S.r.l. non abbia affatto perso il possesso del requisito della regolarità fiscale in corso di procedura, perché la pendenza debitoria in contestazione non ha acquisito il carattere della definitività prima di detta ammissione; il certificato dell’Agenzia delle Entrate del 29 giugno/4 luglio 2016 ha perciò avuto ad oggetto un debito che, portato da una cartella esattoriale emessa a seguito di controllo automatizzato delle dichiarazioni relative all’anno d’imposta 2012, alla data predetta era anche parzialmente estinto e comunque novato per il conseguimento del piano di rateizzazione.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8.4.Evidente è la diversità della fattispecie portata all’attenzione dell’Adunanza Plenaria nel giudizio concluso con la sentenza del 5 giugno 2013, n. 15, laddove il contrasto da dirimere atteneva al rapporto tra istanza di rateizzazione e provvedimento di accoglimento ed alla rilevanza da attribuire alla prima, in mancanza del secondo, essendosi perciò affermato che “la configurazione del meccanismo novativo (id est, che consegue alla mera istanza di rateizzazione) fa sì che, nell’arco di tempo che precede l’accoglimento della domanda, resta in vita il debito originario, la cui esistenza è ammessa dallo stesso contribuente con la presentazione della domanda di dilazione del pagamento delle somme iscritte a ruolo”. Corollario di siffatta affermazione è l’altra, contenuta nella stessa sentenza dell’Adunanza plenaria, riferita ai lavori preparatori del </w:t>
      </w:r>
      <w:proofErr w:type="spellStart"/>
      <w:r w:rsidRPr="005D4A03">
        <w:rPr>
          <w:rFonts w:eastAsia="Times New Roman" w:cstheme="minorHAnsi"/>
          <w:color w:val="3D3B39"/>
          <w:sz w:val="20"/>
          <w:szCs w:val="20"/>
          <w:lang w:eastAsia="it-IT"/>
        </w:rPr>
        <w:t>d.l.</w:t>
      </w:r>
      <w:proofErr w:type="spellEnd"/>
      <w:r w:rsidRPr="005D4A03">
        <w:rPr>
          <w:rFonts w:eastAsia="Times New Roman" w:cstheme="minorHAnsi"/>
          <w:color w:val="3D3B39"/>
          <w:sz w:val="20"/>
          <w:szCs w:val="20"/>
          <w:lang w:eastAsia="it-IT"/>
        </w:rPr>
        <w:t xml:space="preserve"> n. 16 del 2012 sulle semplificazioni fiscali, secondo cui è “chiara la volontà di considerare in regola con il fisco unicamente il contribuente cui sia stata accordata la rateizzazione e la conferma del principio secondo cui la mera presentazione dell’istanza di rateazione o dilazione non rileva ai fini della dimostrazione del requisito della regolarità fiscale”. Con la conseguenza che, quando, come nel caso di specie, l’istanza di rateizzazione sia stata accolta ed il piano di ammortamento sia stato avviato prima della definitività dell’accertamento fiscale, il relativo debito tributario non può essere considerato come scaduto ed esigibile.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Analogamente è a dirsi con riferimento al precedente dell’Adunanza plenaria, 20 agosto 2013, n. 20, richiamato da parte appellata, atteso che, anche nella fattispecie ivi portata all’attenzione del Collegio, l’accordo di rateizzazione era stato concluso, non solo in pendenza di procedura, ma anche dopo il decorso del termine di definitività dell’originario debito tributario e del relativo accertamento, a differenza di quanto accaduto nel caso di specie.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lastRenderedPageBreak/>
        <w:t>9. In conclusione, l’appello va accolto e, per l’effetto, in riforma della sentenza appellata in parte qua ed in accoglimento del ricorso per motivi aggiunti in primo grado, va annullato il provvedimento di esclusione impugnato, di cui alla nota del 14 ottobre 2016.</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Restano assorbite le ulteriori censure dell’appellante concernenti i criteri di computo della soglia prevista dall’art. 48 bis del </w:t>
      </w:r>
      <w:proofErr w:type="spellStart"/>
      <w:r w:rsidRPr="005D4A03">
        <w:rPr>
          <w:rFonts w:eastAsia="Times New Roman" w:cstheme="minorHAnsi"/>
          <w:color w:val="3D3B39"/>
          <w:sz w:val="20"/>
          <w:szCs w:val="20"/>
          <w:lang w:eastAsia="it-IT"/>
        </w:rPr>
        <w:t>d.P.R.</w:t>
      </w:r>
      <w:proofErr w:type="spellEnd"/>
      <w:r w:rsidRPr="005D4A03">
        <w:rPr>
          <w:rFonts w:eastAsia="Times New Roman" w:cstheme="minorHAnsi"/>
          <w:color w:val="3D3B39"/>
          <w:sz w:val="20"/>
          <w:szCs w:val="20"/>
          <w:lang w:eastAsia="it-IT"/>
        </w:rPr>
        <w:t xml:space="preserve"> n. 602 del 1973, richiamato dall’art. 38, comma 2, del d.lgs. n. 163 del 2006, ed il mancato accoglimento dell’istanza di sostituzione della consorziata </w:t>
      </w:r>
      <w:proofErr w:type="spellStart"/>
      <w:r w:rsidRPr="005D4A03">
        <w:rPr>
          <w:rFonts w:eastAsia="Times New Roman" w:cstheme="minorHAnsi"/>
          <w:color w:val="3D3B39"/>
          <w:sz w:val="20"/>
          <w:szCs w:val="20"/>
          <w:lang w:eastAsia="it-IT"/>
        </w:rPr>
        <w:t>Primos</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Engineering</w:t>
      </w:r>
      <w:proofErr w:type="spellEnd"/>
      <w:r w:rsidRPr="005D4A03">
        <w:rPr>
          <w:rFonts w:eastAsia="Times New Roman" w:cstheme="minorHAnsi"/>
          <w:color w:val="3D3B39"/>
          <w:sz w:val="20"/>
          <w:szCs w:val="20"/>
          <w:lang w:eastAsia="it-IT"/>
        </w:rPr>
        <w:t xml:space="preserve"> S.r.l.</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10. Sussistono giusti motivi per compensare le spese del doppio grado di giudizio, attesa la peculiarità del caso di specie.</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P.Q.M.</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Il Consiglio di Stato in sede giurisdizionale (Sezione Quinta), definitivamente pronunciando sull'appello, come in epigrafe proposto, lo accoglie ed, in riforma della sentenza appellata, annulla il provvedimento di esclusione specificato in motivazione.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Compensa le spese processuali del doppio grado di giudizio.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Ordina che la presente sentenza sia eseguita dall'autorità amministrativa.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Così deciso in Roma nella camera di consiglio del giorno 3 maggio 2018 con l'intervento dei magistrati:</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Carlo Saltelli, Presidente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Paolo Giovanni </w:t>
      </w:r>
      <w:proofErr w:type="spellStart"/>
      <w:r w:rsidRPr="005D4A03">
        <w:rPr>
          <w:rFonts w:eastAsia="Times New Roman" w:cstheme="minorHAnsi"/>
          <w:color w:val="3D3B39"/>
          <w:sz w:val="20"/>
          <w:szCs w:val="20"/>
          <w:lang w:eastAsia="it-IT"/>
        </w:rPr>
        <w:t>Nicolo'</w:t>
      </w:r>
      <w:proofErr w:type="spellEnd"/>
      <w:r w:rsidRPr="005D4A03">
        <w:rPr>
          <w:rFonts w:eastAsia="Times New Roman" w:cstheme="minorHAnsi"/>
          <w:color w:val="3D3B39"/>
          <w:sz w:val="20"/>
          <w:szCs w:val="20"/>
          <w:lang w:eastAsia="it-IT"/>
        </w:rPr>
        <w:t xml:space="preserve"> Lotti, Consigliere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Fabio </w:t>
      </w:r>
      <w:proofErr w:type="spellStart"/>
      <w:r w:rsidRPr="005D4A03">
        <w:rPr>
          <w:rFonts w:eastAsia="Times New Roman" w:cstheme="minorHAnsi"/>
          <w:color w:val="3D3B39"/>
          <w:sz w:val="20"/>
          <w:szCs w:val="20"/>
          <w:lang w:eastAsia="it-IT"/>
        </w:rPr>
        <w:t>Franconiero</w:t>
      </w:r>
      <w:proofErr w:type="spellEnd"/>
      <w:r w:rsidRPr="005D4A03">
        <w:rPr>
          <w:rFonts w:eastAsia="Times New Roman" w:cstheme="minorHAnsi"/>
          <w:color w:val="3D3B39"/>
          <w:sz w:val="20"/>
          <w:szCs w:val="20"/>
          <w:lang w:eastAsia="it-IT"/>
        </w:rPr>
        <w:t>, Consigliere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Raffaele Prosperi, Consigliere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Giuseppina Luciana </w:t>
      </w:r>
      <w:proofErr w:type="spellStart"/>
      <w:r w:rsidRPr="005D4A03">
        <w:rPr>
          <w:rFonts w:eastAsia="Times New Roman" w:cstheme="minorHAnsi"/>
          <w:color w:val="3D3B39"/>
          <w:sz w:val="20"/>
          <w:szCs w:val="20"/>
          <w:lang w:eastAsia="it-IT"/>
        </w:rPr>
        <w:t>Barreca</w:t>
      </w:r>
      <w:proofErr w:type="spellEnd"/>
      <w:r w:rsidRPr="005D4A03">
        <w:rPr>
          <w:rFonts w:eastAsia="Times New Roman" w:cstheme="minorHAnsi"/>
          <w:color w:val="3D3B39"/>
          <w:sz w:val="20"/>
          <w:szCs w:val="20"/>
          <w:lang w:eastAsia="it-IT"/>
        </w:rPr>
        <w:t>, Consigliere, Estensore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L'ESTENSORE  IL PRESIDENTE </w:t>
      </w:r>
      <w:r w:rsidRPr="005D4A03">
        <w:rPr>
          <w:rFonts w:eastAsia="Times New Roman" w:cstheme="minorHAnsi"/>
          <w:color w:val="3D3B39"/>
          <w:sz w:val="20"/>
          <w:szCs w:val="20"/>
          <w:lang w:eastAsia="it-IT"/>
        </w:rPr>
        <w:br/>
        <w:t xml:space="preserve">Giuseppina Luciana </w:t>
      </w:r>
      <w:proofErr w:type="spellStart"/>
      <w:r w:rsidRPr="005D4A03">
        <w:rPr>
          <w:rFonts w:eastAsia="Times New Roman" w:cstheme="minorHAnsi"/>
          <w:color w:val="3D3B39"/>
          <w:sz w:val="20"/>
          <w:szCs w:val="20"/>
          <w:lang w:eastAsia="it-IT"/>
        </w:rPr>
        <w:t>Barreca</w:t>
      </w:r>
      <w:proofErr w:type="spellEnd"/>
      <w:r w:rsidRPr="005D4A03">
        <w:rPr>
          <w:rFonts w:eastAsia="Times New Roman" w:cstheme="minorHAnsi"/>
          <w:color w:val="3D3B39"/>
          <w:sz w:val="20"/>
          <w:szCs w:val="20"/>
          <w:lang w:eastAsia="it-IT"/>
        </w:rPr>
        <w:t xml:space="preserve">  Carlo Saltelli </w:t>
      </w: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rPr>
          <w:rFonts w:cstheme="minorHAnsi"/>
          <w:sz w:val="20"/>
          <w:szCs w:val="20"/>
        </w:rPr>
      </w:pPr>
    </w:p>
    <w:p w:rsidR="009B213C" w:rsidRPr="005D4A03" w:rsidRDefault="009B213C" w:rsidP="009B213C">
      <w:pPr>
        <w:rPr>
          <w:rFonts w:cstheme="minorHAnsi"/>
          <w:sz w:val="20"/>
          <w:szCs w:val="20"/>
        </w:rPr>
      </w:pPr>
    </w:p>
    <w:p w:rsidR="009B213C" w:rsidRPr="005D4A03" w:rsidRDefault="009B213C" w:rsidP="009B213C">
      <w:pPr>
        <w:rPr>
          <w:rFonts w:cstheme="minorHAnsi"/>
          <w:sz w:val="20"/>
          <w:szCs w:val="20"/>
        </w:rPr>
      </w:pPr>
    </w:p>
    <w:p w:rsidR="009B213C" w:rsidRPr="005D4A03" w:rsidRDefault="009B213C" w:rsidP="009B213C">
      <w:pPr>
        <w:rPr>
          <w:rFonts w:cstheme="minorHAnsi"/>
          <w:sz w:val="20"/>
          <w:szCs w:val="20"/>
        </w:rPr>
      </w:pPr>
    </w:p>
    <w:p w:rsidR="009B213C" w:rsidRPr="005D4A03" w:rsidRDefault="009B213C" w:rsidP="009B213C">
      <w:pPr>
        <w:rPr>
          <w:rFonts w:cstheme="minorHAnsi"/>
          <w:sz w:val="20"/>
          <w:szCs w:val="20"/>
        </w:rPr>
      </w:pPr>
    </w:p>
    <w:p w:rsidR="009B213C" w:rsidRPr="005D4A03" w:rsidRDefault="009B213C" w:rsidP="009B213C">
      <w:pPr>
        <w:rPr>
          <w:rFonts w:cstheme="minorHAnsi"/>
          <w:sz w:val="20"/>
          <w:szCs w:val="20"/>
        </w:rPr>
      </w:pPr>
    </w:p>
    <w:p w:rsidR="009B213C" w:rsidRPr="005D4A03" w:rsidRDefault="009B213C" w:rsidP="009B213C">
      <w:pPr>
        <w:rPr>
          <w:rFonts w:cstheme="minorHAnsi"/>
          <w:sz w:val="20"/>
          <w:szCs w:val="20"/>
        </w:rPr>
      </w:pPr>
    </w:p>
    <w:p w:rsidR="009B213C" w:rsidRPr="005D4A03" w:rsidRDefault="009B213C" w:rsidP="009B213C">
      <w:pPr>
        <w:rPr>
          <w:rFonts w:cstheme="minorHAnsi"/>
          <w:sz w:val="20"/>
          <w:szCs w:val="20"/>
        </w:rPr>
      </w:pPr>
    </w:p>
    <w:p w:rsidR="009B213C" w:rsidRPr="005D4A03" w:rsidRDefault="009B213C" w:rsidP="009B213C">
      <w:pPr>
        <w:rPr>
          <w:rFonts w:cstheme="minorHAnsi"/>
          <w:sz w:val="20"/>
          <w:szCs w:val="20"/>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lastRenderedPageBreak/>
        <w:t xml:space="preserve">Pubblicato il 03/09/2018 </w:t>
      </w:r>
      <w:r w:rsidRPr="005D4A03">
        <w:rPr>
          <w:rFonts w:eastAsia="Times New Roman" w:cstheme="minorHAnsi"/>
          <w:color w:val="3D3B39"/>
          <w:sz w:val="20"/>
          <w:szCs w:val="20"/>
          <w:lang w:eastAsia="it-IT"/>
        </w:rPr>
        <w:br/>
        <w:t xml:space="preserve">N. 05161/2018REG.PROV.COLL. </w:t>
      </w:r>
      <w:r w:rsidRPr="005D4A03">
        <w:rPr>
          <w:rFonts w:eastAsia="Times New Roman" w:cstheme="minorHAnsi"/>
          <w:color w:val="3D3B39"/>
          <w:sz w:val="20"/>
          <w:szCs w:val="20"/>
          <w:lang w:eastAsia="it-IT"/>
        </w:rPr>
        <w:br/>
        <w:t xml:space="preserve">N. 02298/2018 REG.RIC. </w:t>
      </w:r>
      <w:r w:rsidRPr="005D4A03">
        <w:rPr>
          <w:rFonts w:eastAsia="Times New Roman" w:cstheme="minorHAnsi"/>
          <w:color w:val="3D3B39"/>
          <w:sz w:val="20"/>
          <w:szCs w:val="20"/>
          <w:lang w:eastAsia="it-IT"/>
        </w:rPr>
        <w:br/>
        <w:t>N. 02167/2018 REG.RIC.</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REPUBBLICA ITALIANA</w:t>
      </w:r>
      <w:r w:rsidRPr="005D4A03">
        <w:rPr>
          <w:rFonts w:eastAsia="Times New Roman" w:cstheme="minorHAnsi"/>
          <w:b/>
          <w:bCs/>
          <w:color w:val="3D3B39"/>
          <w:sz w:val="20"/>
          <w:szCs w:val="20"/>
          <w:lang w:eastAsia="it-IT"/>
        </w:rPr>
        <w:br/>
        <w:t>IN NOME DEL POPOLO ITALIANO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Il Consiglio di Stato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in sede giurisdizionale (Sezione Quinta)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ha pronunciato la presente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r>
      <w:r w:rsidRPr="005D4A03">
        <w:rPr>
          <w:rFonts w:eastAsia="Times New Roman" w:cstheme="minorHAnsi"/>
          <w:b/>
          <w:bCs/>
          <w:color w:val="3D3B39"/>
          <w:sz w:val="20"/>
          <w:szCs w:val="20"/>
          <w:lang w:eastAsia="it-IT"/>
        </w:rPr>
        <w:t>SENTENZA</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br/>
        <w:t xml:space="preserve">sul ricorso in appello iscritto al numero di registro generale 2298 del 2018, proposto da </w:t>
      </w:r>
      <w:r w:rsidRPr="005D4A03">
        <w:rPr>
          <w:rFonts w:eastAsia="Times New Roman" w:cstheme="minorHAnsi"/>
          <w:color w:val="3D3B39"/>
          <w:sz w:val="20"/>
          <w:szCs w:val="20"/>
          <w:lang w:eastAsia="it-IT"/>
        </w:rPr>
        <w:br/>
      </w:r>
      <w:proofErr w:type="spellStart"/>
      <w:r w:rsidRPr="005D4A03">
        <w:rPr>
          <w:rFonts w:eastAsia="Times New Roman" w:cstheme="minorHAnsi"/>
          <w:color w:val="3D3B39"/>
          <w:sz w:val="20"/>
          <w:szCs w:val="20"/>
          <w:lang w:eastAsia="it-IT"/>
        </w:rPr>
        <w:t>Sogaer</w:t>
      </w:r>
      <w:proofErr w:type="spellEnd"/>
      <w:r w:rsidRPr="005D4A03">
        <w:rPr>
          <w:rFonts w:eastAsia="Times New Roman" w:cstheme="minorHAnsi"/>
          <w:color w:val="3D3B39"/>
          <w:sz w:val="20"/>
          <w:szCs w:val="20"/>
          <w:lang w:eastAsia="it-IT"/>
        </w:rPr>
        <w:t xml:space="preserve"> – Società Gestione Aeroporto Cagliari Elmas –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in persona del legale rappresentante pro tempore, rappresentata e difesa dall'avvocato Angelo Piazza, con domicilio digitale come da PEC da Registri di Giustizia e domicilio eletto presso il suo studio in Roma, piazza di San Bernardo, n. 101;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contro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Vitali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Sogela</w:t>
      </w:r>
      <w:proofErr w:type="spellEnd"/>
      <w:r w:rsidRPr="005D4A03">
        <w:rPr>
          <w:rFonts w:eastAsia="Times New Roman" w:cstheme="minorHAnsi"/>
          <w:color w:val="3D3B39"/>
          <w:sz w:val="20"/>
          <w:szCs w:val="20"/>
          <w:lang w:eastAsia="it-IT"/>
        </w:rPr>
        <w:t xml:space="preserve"> s.r.l., in proprio e quale mandante del costituendo Consorzio con la Società Gestione Lavori – </w:t>
      </w:r>
      <w:proofErr w:type="spellStart"/>
      <w:r w:rsidRPr="005D4A03">
        <w:rPr>
          <w:rFonts w:eastAsia="Times New Roman" w:cstheme="minorHAnsi"/>
          <w:color w:val="3D3B39"/>
          <w:sz w:val="20"/>
          <w:szCs w:val="20"/>
          <w:lang w:eastAsia="it-IT"/>
        </w:rPr>
        <w:t>So.GE.LA</w:t>
      </w:r>
      <w:proofErr w:type="spellEnd"/>
      <w:r w:rsidRPr="005D4A03">
        <w:rPr>
          <w:rFonts w:eastAsia="Times New Roman" w:cstheme="minorHAnsi"/>
          <w:color w:val="3D3B39"/>
          <w:sz w:val="20"/>
          <w:szCs w:val="20"/>
          <w:lang w:eastAsia="it-IT"/>
        </w:rPr>
        <w:t xml:space="preserve">., s.r.l., in persona del legale rappresentante pro tempore, rappresentata e difesa dell’avv. Francesco </w:t>
      </w:r>
      <w:proofErr w:type="spellStart"/>
      <w:r w:rsidRPr="005D4A03">
        <w:rPr>
          <w:rFonts w:eastAsia="Times New Roman" w:cstheme="minorHAnsi"/>
          <w:color w:val="3D3B39"/>
          <w:sz w:val="20"/>
          <w:szCs w:val="20"/>
          <w:lang w:eastAsia="it-IT"/>
        </w:rPr>
        <w:t>Marascio</w:t>
      </w:r>
      <w:proofErr w:type="spellEnd"/>
      <w:r w:rsidRPr="005D4A03">
        <w:rPr>
          <w:rFonts w:eastAsia="Times New Roman" w:cstheme="minorHAnsi"/>
          <w:color w:val="3D3B39"/>
          <w:sz w:val="20"/>
          <w:szCs w:val="20"/>
          <w:lang w:eastAsia="it-IT"/>
        </w:rPr>
        <w:t xml:space="preserve">, con domicilio digitale come da PEC da Registri di Giustizia e domicilio eletto a presso il suo studio in Roma, via Po, 12;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nei confronti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Impresa Bacchi S.r.l., non costituita in giudizio; </w:t>
      </w:r>
      <w:r w:rsidRPr="005D4A03">
        <w:rPr>
          <w:rFonts w:eastAsia="Times New Roman" w:cstheme="minorHAnsi"/>
          <w:color w:val="3D3B39"/>
          <w:sz w:val="20"/>
          <w:szCs w:val="20"/>
          <w:lang w:eastAsia="it-IT"/>
        </w:rPr>
        <w:br/>
      </w:r>
      <w:proofErr w:type="spellStart"/>
      <w:r w:rsidRPr="005D4A03">
        <w:rPr>
          <w:rFonts w:eastAsia="Times New Roman" w:cstheme="minorHAnsi"/>
          <w:color w:val="3D3B39"/>
          <w:sz w:val="20"/>
          <w:szCs w:val="20"/>
          <w:lang w:eastAsia="it-IT"/>
        </w:rPr>
        <w:t>Ntc</w:t>
      </w:r>
      <w:proofErr w:type="spellEnd"/>
      <w:r w:rsidRPr="005D4A03">
        <w:rPr>
          <w:rFonts w:eastAsia="Times New Roman" w:cstheme="minorHAnsi"/>
          <w:color w:val="3D3B39"/>
          <w:sz w:val="20"/>
          <w:szCs w:val="20"/>
          <w:lang w:eastAsia="it-IT"/>
        </w:rPr>
        <w:t xml:space="preserve"> Costruzioni Generali s.r.l., in persona del legale rappresentante pro tempore, rappresentata e difeso dall'avvocata dall'avvocato Leopoldo Di Bonito, con domicilio digitale come da PEC da Registri di Giustizia;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sul ricorso in appello iscritto al numero di registro generale 2167 del 2018, proposto da </w:t>
      </w:r>
      <w:r w:rsidRPr="005D4A03">
        <w:rPr>
          <w:rFonts w:eastAsia="Times New Roman" w:cstheme="minorHAnsi"/>
          <w:color w:val="3D3B39"/>
          <w:sz w:val="20"/>
          <w:szCs w:val="20"/>
          <w:lang w:eastAsia="it-IT"/>
        </w:rPr>
        <w:br/>
        <w:t xml:space="preserve">Impresa Bacchi s.r.l., in persona del legale rappresentante pro tempore, rappresentata e difesa dagli avvocati Mauro Ciani, Michele Ottani, Stefano Vinti, con domicilio digitale come da PEC da Registri di Giustizia e domicilio eletto presso lo studio dell’avvocato Stefano Vinti in Roma, via Emilia, 88;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contro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Società Gestione Aeroporti Cagliari Elmas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non costituita in giudizio;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nei confronti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Vitali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in persona del legale rappresentante pro tempore, rappresentata e difesa dall’avvocato Francesco </w:t>
      </w:r>
      <w:proofErr w:type="spellStart"/>
      <w:r w:rsidRPr="005D4A03">
        <w:rPr>
          <w:rFonts w:eastAsia="Times New Roman" w:cstheme="minorHAnsi"/>
          <w:color w:val="3D3B39"/>
          <w:sz w:val="20"/>
          <w:szCs w:val="20"/>
          <w:lang w:eastAsia="it-IT"/>
        </w:rPr>
        <w:t>Marascio</w:t>
      </w:r>
      <w:proofErr w:type="spellEnd"/>
      <w:r w:rsidRPr="005D4A03">
        <w:rPr>
          <w:rFonts w:eastAsia="Times New Roman" w:cstheme="minorHAnsi"/>
          <w:color w:val="3D3B39"/>
          <w:sz w:val="20"/>
          <w:szCs w:val="20"/>
          <w:lang w:eastAsia="it-IT"/>
        </w:rPr>
        <w:t xml:space="preserve">, con domicilio digitale come da PEC da Registri di Giustizia e domicilio eletto presso il suo studio in Roma, via Po n. 12; </w:t>
      </w:r>
      <w:r w:rsidRPr="005D4A03">
        <w:rPr>
          <w:rFonts w:eastAsia="Times New Roman" w:cstheme="minorHAnsi"/>
          <w:color w:val="3D3B39"/>
          <w:sz w:val="20"/>
          <w:szCs w:val="20"/>
          <w:lang w:eastAsia="it-IT"/>
        </w:rPr>
        <w:br/>
        <w:t xml:space="preserve">Società Gestione Lavori </w:t>
      </w:r>
      <w:proofErr w:type="spellStart"/>
      <w:r w:rsidRPr="005D4A03">
        <w:rPr>
          <w:rFonts w:eastAsia="Times New Roman" w:cstheme="minorHAnsi"/>
          <w:color w:val="3D3B39"/>
          <w:sz w:val="20"/>
          <w:szCs w:val="20"/>
          <w:lang w:eastAsia="it-IT"/>
        </w:rPr>
        <w:t>So.Ge.La</w:t>
      </w:r>
      <w:proofErr w:type="spellEnd"/>
      <w:r w:rsidRPr="005D4A03">
        <w:rPr>
          <w:rFonts w:eastAsia="Times New Roman" w:cstheme="minorHAnsi"/>
          <w:color w:val="3D3B39"/>
          <w:sz w:val="20"/>
          <w:szCs w:val="20"/>
          <w:lang w:eastAsia="it-IT"/>
        </w:rPr>
        <w:t xml:space="preserve">. s.r.l., </w:t>
      </w:r>
      <w:proofErr w:type="spellStart"/>
      <w:r w:rsidRPr="005D4A03">
        <w:rPr>
          <w:rFonts w:eastAsia="Times New Roman" w:cstheme="minorHAnsi"/>
          <w:color w:val="3D3B39"/>
          <w:sz w:val="20"/>
          <w:szCs w:val="20"/>
          <w:lang w:eastAsia="it-IT"/>
        </w:rPr>
        <w:t>Ntc</w:t>
      </w:r>
      <w:proofErr w:type="spellEnd"/>
      <w:r w:rsidRPr="005D4A03">
        <w:rPr>
          <w:rFonts w:eastAsia="Times New Roman" w:cstheme="minorHAnsi"/>
          <w:color w:val="3D3B39"/>
          <w:sz w:val="20"/>
          <w:szCs w:val="20"/>
          <w:lang w:eastAsia="it-IT"/>
        </w:rPr>
        <w:t xml:space="preserve"> Costruzioni Generali s.r.l. non costituiti in giudizio;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per la riforma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quanto al ricorso n. 2167 del 2018:</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della sentenza breve del Tribunale amministrativo regionale per la Sardegna (sezione Prima) n. 00810/2017, resa tra le parti;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lastRenderedPageBreak/>
        <w:br/>
        <w:t>quanto al ricorso n. 2298 del 2018:</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della sentenza breve del Tribunale amministrativo regionale per la Sardegna (sezione Prima) n. 00810/2017, resa tra le parti;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Visti i ricorsi in appello e i relativi allegati;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Visti gli atti di costituzione in giudizio di Vitali S.p.A. e di </w:t>
      </w:r>
      <w:proofErr w:type="spellStart"/>
      <w:r w:rsidRPr="005D4A03">
        <w:rPr>
          <w:rFonts w:eastAsia="Times New Roman" w:cstheme="minorHAnsi"/>
          <w:color w:val="3D3B39"/>
          <w:sz w:val="20"/>
          <w:szCs w:val="20"/>
          <w:lang w:eastAsia="it-IT"/>
        </w:rPr>
        <w:t>Ntc</w:t>
      </w:r>
      <w:proofErr w:type="spellEnd"/>
      <w:r w:rsidRPr="005D4A03">
        <w:rPr>
          <w:rFonts w:eastAsia="Times New Roman" w:cstheme="minorHAnsi"/>
          <w:color w:val="3D3B39"/>
          <w:sz w:val="20"/>
          <w:szCs w:val="20"/>
          <w:lang w:eastAsia="it-IT"/>
        </w:rPr>
        <w:t xml:space="preserve"> Costruzioni Generali S.r.l.;</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Visti tutti gli atti della causa;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Relatore nell'udienza pubblica del giorno 5 luglio 2018 il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xml:space="preserve">. Roberto </w:t>
      </w:r>
      <w:proofErr w:type="spellStart"/>
      <w:r w:rsidRPr="005D4A03">
        <w:rPr>
          <w:rFonts w:eastAsia="Times New Roman" w:cstheme="minorHAnsi"/>
          <w:color w:val="3D3B39"/>
          <w:sz w:val="20"/>
          <w:szCs w:val="20"/>
          <w:lang w:eastAsia="it-IT"/>
        </w:rPr>
        <w:t>Giovagnoli</w:t>
      </w:r>
      <w:proofErr w:type="spellEnd"/>
      <w:r w:rsidRPr="005D4A03">
        <w:rPr>
          <w:rFonts w:eastAsia="Times New Roman" w:cstheme="minorHAnsi"/>
          <w:color w:val="3D3B39"/>
          <w:sz w:val="20"/>
          <w:szCs w:val="20"/>
          <w:lang w:eastAsia="it-IT"/>
        </w:rPr>
        <w:t xml:space="preserve"> e uditi per le parti l’avvocato Gennaro </w:t>
      </w:r>
      <w:proofErr w:type="spellStart"/>
      <w:r w:rsidRPr="005D4A03">
        <w:rPr>
          <w:rFonts w:eastAsia="Times New Roman" w:cstheme="minorHAnsi"/>
          <w:color w:val="3D3B39"/>
          <w:sz w:val="20"/>
          <w:szCs w:val="20"/>
          <w:lang w:eastAsia="it-IT"/>
        </w:rPr>
        <w:t>Terracciano</w:t>
      </w:r>
      <w:proofErr w:type="spellEnd"/>
      <w:r w:rsidRPr="005D4A03">
        <w:rPr>
          <w:rFonts w:eastAsia="Times New Roman" w:cstheme="minorHAnsi"/>
          <w:color w:val="3D3B39"/>
          <w:sz w:val="20"/>
          <w:szCs w:val="20"/>
          <w:lang w:eastAsia="it-IT"/>
        </w:rPr>
        <w:t xml:space="preserve">, su delega dell’avvocato Angelo Piazza, l’avvocato Alessandro </w:t>
      </w:r>
      <w:proofErr w:type="spellStart"/>
      <w:r w:rsidRPr="005D4A03">
        <w:rPr>
          <w:rFonts w:eastAsia="Times New Roman" w:cstheme="minorHAnsi"/>
          <w:color w:val="3D3B39"/>
          <w:sz w:val="20"/>
          <w:szCs w:val="20"/>
          <w:lang w:eastAsia="it-IT"/>
        </w:rPr>
        <w:t>Biamonte</w:t>
      </w:r>
      <w:proofErr w:type="spellEnd"/>
      <w:r w:rsidRPr="005D4A03">
        <w:rPr>
          <w:rFonts w:eastAsia="Times New Roman" w:cstheme="minorHAnsi"/>
          <w:color w:val="3D3B39"/>
          <w:sz w:val="20"/>
          <w:szCs w:val="20"/>
          <w:lang w:eastAsia="it-IT"/>
        </w:rPr>
        <w:t xml:space="preserve">, su delega dell’avvocato Francesco </w:t>
      </w:r>
      <w:proofErr w:type="spellStart"/>
      <w:r w:rsidRPr="005D4A03">
        <w:rPr>
          <w:rFonts w:eastAsia="Times New Roman" w:cstheme="minorHAnsi"/>
          <w:color w:val="3D3B39"/>
          <w:sz w:val="20"/>
          <w:szCs w:val="20"/>
          <w:lang w:eastAsia="it-IT"/>
        </w:rPr>
        <w:t>Marascio</w:t>
      </w:r>
      <w:proofErr w:type="spellEnd"/>
      <w:r w:rsidRPr="005D4A03">
        <w:rPr>
          <w:rFonts w:eastAsia="Times New Roman" w:cstheme="minorHAnsi"/>
          <w:color w:val="3D3B39"/>
          <w:sz w:val="20"/>
          <w:szCs w:val="20"/>
          <w:lang w:eastAsia="it-IT"/>
        </w:rPr>
        <w:t>, l’avvocato Elia Barbieri, su delega dell’avvocato Stefano Vinti;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Ritenuto e considerato in fatto e diritto quanto segue.</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FATTO e DIRITTO</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 xml:space="preserve">1. La SO.GA.ER.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 Società gestione aeroporti Cagliari Elmas), con avviso pubblicato il 4 maggio 2017, ha bandito una gara, da aggiudicarsi con il criterio dell’offerta economicamente più vantaggiosa e con prezzo a corpo, per l’affidamento a corpo dei lavori di manutenzione straordinaria del raccordo “MIKE e strada perimetrale”, all’interno dell’aeroporto, con prezzo a base d’asta pari ad € 2.560.563,95.</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2. Il R.T.I. composto da Vitali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(capogruppo mandataria) e SOGELA s.r.l. – Società gestione lavori (mandante), inizialmente aggiudicatario, è stato poi escluso dalla gara dalla stazione appaltante (che ha annullato in autotutela l’aggiudicazione) per aver modificato in sede di formulazione dell’offerta l’elenco dei prezzi unitari predisposto dalla stazione appaltante.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La gara è stata successivamente aggiudicata al costituendo R.T.I. composto dall’Impresa Bucchi s.r.l. (capogruppo mandante) e NTC Costruzioni s.r.l. (mandataria).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3. Contro il provvedimento di esclusione e la successiva aggiudicazione a favore del R.T.I. Impresa Bucchi s.r.l., il R.T.I. Vitali ha proposto ricorso innanzi al Tribunale amministrativo regionale per la Sardegna.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4. Il Tribunale amministrativo regionale per la Sardegna, con la sentenza di estremi indicati in epigrafe, ha accolto il ricorso, affermando il principio secondo cui in un appalto a corpo, in cui è stato offerto un prezzo complessivo, l’elenco dei prezzi analitico è irrilevante, perché ai fini della determinazione del prezzo offerto deve prendersi in considerazione l’intera opera considerata globalmente.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5. Per ottenere la riforma di detta sentenza hanno proposto separati appelli sia SO.GA.ER. sia il R.T.I. Impresa Bucchi s.r.l..</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6. Si è costituito in giudizio per resistere ad entrambi gli appelli il R.T.I. Vitali.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7. Alla pubblica udienza del 5 luglio 2018, la causa è stata trattenuta per la decisione.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9. Occorre, anzitutto, disporre la riunione degli appelli, trattandosi di impugnazioni avverso la medesima sentenza.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10. Gli appelli non meritano accoglimento.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11. Come si è già evidenziato, la gara di che trattasi era da aggiudicare a “corpo”.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In siffatta tipologia di appalti il corrispettivo è determinato in una somma fissa e invariabile derivante dal ribasso offerto sull'importo a base d’asta.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Elemento essenziale della proposta economica è, quindi, il solo importo finale offerto, mentre i prezzi unitari indicati </w:t>
      </w:r>
      <w:r w:rsidRPr="005D4A03">
        <w:rPr>
          <w:rFonts w:eastAsia="Times New Roman" w:cstheme="minorHAnsi"/>
          <w:color w:val="3D3B39"/>
          <w:sz w:val="20"/>
          <w:szCs w:val="20"/>
          <w:lang w:eastAsia="it-IT"/>
        </w:rPr>
        <w:lastRenderedPageBreak/>
        <w:t xml:space="preserve">nel c.d. elenco prezzi, tratti dai listini ufficiali (che possono essere oggetto di negoziazione o di sconti sulla base di svariate circostanze), hanno un valore meramente indicativo delle voci di costo che hanno concorso a formare il detto importo finale (cfr.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Stato, V, 3 aprile 2018, n. 2057).</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Ne consegue che le indicazioni contenute nel c.d. elenco prezzi sono destinate a restare fuori dal contenuto essenziale dell’offerta e quindi del contratto da stipulare. Ciò, peraltro, trova conferma nell'art. 59, comma 5, d.lgs. 18 aprile 2016, n. 50, il quale (riproducendo l’analoga norma contenuta nell’art. 53, comma 4, d </w:t>
      </w:r>
      <w:proofErr w:type="spellStart"/>
      <w:r w:rsidRPr="005D4A03">
        <w:rPr>
          <w:rFonts w:eastAsia="Times New Roman" w:cstheme="minorHAnsi"/>
          <w:color w:val="3D3B39"/>
          <w:sz w:val="20"/>
          <w:szCs w:val="20"/>
          <w:lang w:eastAsia="it-IT"/>
        </w:rPr>
        <w:t>lgs</w:t>
      </w:r>
      <w:proofErr w:type="spellEnd"/>
      <w:r w:rsidRPr="005D4A03">
        <w:rPr>
          <w:rFonts w:eastAsia="Times New Roman" w:cstheme="minorHAnsi"/>
          <w:color w:val="3D3B39"/>
          <w:sz w:val="20"/>
          <w:szCs w:val="20"/>
          <w:lang w:eastAsia="it-IT"/>
        </w:rPr>
        <w:t xml:space="preserve">. 12 aprile 2016, n. 163) stabilisce che: “per le prestazioni a corpo il prezzo convenuto non può variare in aumento o in diminuzione, secondo la qualità e la quantità effettiva dei lavori eseguiti” (cfr., in relazione all’analoga previsione del previgente Codice dei contratti pubblici,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Stato, VI, 4 gennaio 2016, n. 15).</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In definitiva, pertanto, negli appalti a corpo in cui la somma complessiva offerta copre l’esecuzione di tutte le prestazioni contrattuali, l’elenco prezzi analitico risulta irrilevante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xml:space="preserve">. Stato, V, 3 aprile 2018, n. 2057;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xml:space="preserve">. Stato, VI, 4 gennaio 2016, n. 15;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xml:space="preserve">. Stato, VI, 4 agosto 2009, n. 4903;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Stato, IV, 26 febbraio 2015, n. 963).</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12. Non ha pregio, in senso contrario, la tesi della stazione appaltante secondo cui nel caso di specie il disciplinare avrebbe previsto, a pena di esclusione, la sottoscrizione dell’elenco prezzi nella versione originale. Ove, invero, il disciplinare venisse interpretato in questi termini (nel senso cioè di aver previsto a pena di esclusione, per lavori da aggiudicarsi a corpo, l’</w:t>
      </w:r>
      <w:proofErr w:type="spellStart"/>
      <w:r w:rsidRPr="005D4A03">
        <w:rPr>
          <w:rFonts w:eastAsia="Times New Roman" w:cstheme="minorHAnsi"/>
          <w:color w:val="3D3B39"/>
          <w:sz w:val="20"/>
          <w:szCs w:val="20"/>
          <w:lang w:eastAsia="it-IT"/>
        </w:rPr>
        <w:t>immodificabilità</w:t>
      </w:r>
      <w:proofErr w:type="spellEnd"/>
      <w:r w:rsidRPr="005D4A03">
        <w:rPr>
          <w:rFonts w:eastAsia="Times New Roman" w:cstheme="minorHAnsi"/>
          <w:color w:val="3D3B39"/>
          <w:sz w:val="20"/>
          <w:szCs w:val="20"/>
          <w:lang w:eastAsia="it-IT"/>
        </w:rPr>
        <w:t xml:space="preserve"> dei prezzi unitari) la relativa clausola non sfuggirebbe alla comminatoria di nullità di cui all’art. 83, comma 3, d.lgs. n. 50 del 2016, che, come è noto, stabilisce la nullità delle clausole che introducono cause di esclusione ulteriori rispetto a quello previste dalla legge.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13. Del resto, il R.T.I. Vitali si è limitato ad apportare all’elenco dei prezzi le modifiche coerenti con la proposta migliorative offerta (sostituzione del materiale per la pavimentazione con materiali ecocompatibili), miglioria espressamente consentita dal disciplinare, il che consente anche di superare l’ulteriore censura secondo cui l’odierna appellata avrebbe introdotto al progetto delle varianti non consentite (o, addirittura, presentato un’offerta disomogenea e, quindi, non confrontabile con quella degli altri concorrenti).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La lista dei prezzi “modificati” coincide, inoltre, con l’offerta finale presentata che, quindi, non risulta indeterminata.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14. Alla luce delle considerazioni che precedono, gli appelli devono, pertanto, essere respinti.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15. Sussistono i presupposti per compensare le spese del giudizio di appello, considerata la peculiarità della fattispecie e la complessità, specie sul piano tecnico, delle questioni esaminate. </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P.Q.M.</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 xml:space="preserve">Il Consiglio di Stato in sede giurisdizionale (Sezione Quinta), definitivamente pronunciando sugli appelli, come in epigrafe proposti, ne dispone la riunione e li respinge.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Spese compensate.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Ordina che la presente sentenza sia eseguita dall'autorità amministrativa.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Così deciso in Roma nella camera di consiglio del giorno 5 luglio 2018 con l'intervento dei magistrati: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Giuseppe Severini, Presidente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Roberto </w:t>
      </w:r>
      <w:proofErr w:type="spellStart"/>
      <w:r w:rsidRPr="005D4A03">
        <w:rPr>
          <w:rFonts w:eastAsia="Times New Roman" w:cstheme="minorHAnsi"/>
          <w:color w:val="3D3B39"/>
          <w:sz w:val="20"/>
          <w:szCs w:val="20"/>
          <w:lang w:eastAsia="it-IT"/>
        </w:rPr>
        <w:t>Giovagnoli</w:t>
      </w:r>
      <w:proofErr w:type="spellEnd"/>
      <w:r w:rsidRPr="005D4A03">
        <w:rPr>
          <w:rFonts w:eastAsia="Times New Roman" w:cstheme="minorHAnsi"/>
          <w:color w:val="3D3B39"/>
          <w:sz w:val="20"/>
          <w:szCs w:val="20"/>
          <w:lang w:eastAsia="it-IT"/>
        </w:rPr>
        <w:t>, Consigliere, Estensore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Raffaele Prosperi, Consigliere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Valerio Perotti, Consigliere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Federico Di Matteo, Consigliere</w:t>
      </w: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lastRenderedPageBreak/>
        <w:t xml:space="preserve">Pubblicato il 31/08/2018 </w:t>
      </w:r>
      <w:r w:rsidRPr="005D4A03">
        <w:rPr>
          <w:rFonts w:eastAsia="Times New Roman" w:cstheme="minorHAnsi"/>
          <w:color w:val="3D3B39"/>
          <w:sz w:val="20"/>
          <w:szCs w:val="20"/>
          <w:lang w:eastAsia="it-IT"/>
        </w:rPr>
        <w:br/>
      </w:r>
      <w:r w:rsidRPr="005D4A03">
        <w:rPr>
          <w:rFonts w:eastAsia="Times New Roman" w:cstheme="minorHAnsi"/>
          <w:b/>
          <w:bCs/>
          <w:color w:val="3D3B39"/>
          <w:sz w:val="20"/>
          <w:szCs w:val="20"/>
          <w:lang w:eastAsia="it-IT"/>
        </w:rPr>
        <w:t>N. 00489/2018 REG.PROV.COLL.</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r w:rsidRPr="005D4A03">
        <w:rPr>
          <w:rFonts w:eastAsia="Times New Roman" w:cstheme="minorHAnsi"/>
          <w:b/>
          <w:bCs/>
          <w:color w:val="3D3B39"/>
          <w:sz w:val="20"/>
          <w:szCs w:val="20"/>
          <w:lang w:eastAsia="it-IT"/>
        </w:rPr>
        <w:t>N. 00229/2018 REG.RIC.</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REPUBBLICA ITALIANA</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r w:rsidRPr="005D4A03">
        <w:rPr>
          <w:rFonts w:eastAsia="Times New Roman" w:cstheme="minorHAnsi"/>
          <w:b/>
          <w:bCs/>
          <w:color w:val="3D3B39"/>
          <w:sz w:val="20"/>
          <w:szCs w:val="20"/>
          <w:lang w:eastAsia="it-IT"/>
        </w:rPr>
        <w:t>IN NOME DEL POPOLO ITALIANO</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r w:rsidRPr="005D4A03">
        <w:rPr>
          <w:rFonts w:eastAsia="Times New Roman" w:cstheme="minorHAnsi"/>
          <w:b/>
          <w:bCs/>
          <w:color w:val="3D3B39"/>
          <w:sz w:val="20"/>
          <w:szCs w:val="20"/>
          <w:lang w:eastAsia="it-IT"/>
        </w:rPr>
        <w:t>Il Tribunale Amministrativo Regionale per l' Umbria</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r w:rsidRPr="005D4A03">
        <w:rPr>
          <w:rFonts w:eastAsia="Times New Roman" w:cstheme="minorHAnsi"/>
          <w:b/>
          <w:bCs/>
          <w:color w:val="3D3B39"/>
          <w:sz w:val="20"/>
          <w:szCs w:val="20"/>
          <w:lang w:eastAsia="it-IT"/>
        </w:rPr>
        <w:t>(Sezione Prima)</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t xml:space="preserve">ha pronunciato la presente </w:t>
      </w:r>
      <w:r w:rsidRPr="005D4A03">
        <w:rPr>
          <w:rFonts w:eastAsia="Times New Roman" w:cstheme="minorHAnsi"/>
          <w:color w:val="3D3B39"/>
          <w:sz w:val="20"/>
          <w:szCs w:val="20"/>
          <w:lang w:eastAsia="it-IT"/>
        </w:rPr>
        <w:br/>
      </w:r>
      <w:r w:rsidRPr="005D4A03">
        <w:rPr>
          <w:rFonts w:eastAsia="Times New Roman" w:cstheme="minorHAnsi"/>
          <w:b/>
          <w:bCs/>
          <w:color w:val="3D3B39"/>
          <w:sz w:val="20"/>
          <w:szCs w:val="20"/>
          <w:lang w:eastAsia="it-IT"/>
        </w:rPr>
        <w:t>SENTENZA</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sul ricorso numero di registro generale 229 del 2018, integrato da motivi aggiunti, proposto da: </w:t>
      </w:r>
      <w:r w:rsidRPr="005D4A03">
        <w:rPr>
          <w:rFonts w:eastAsia="Times New Roman" w:cstheme="minorHAnsi"/>
          <w:color w:val="3D3B39"/>
          <w:sz w:val="20"/>
          <w:szCs w:val="20"/>
          <w:lang w:eastAsia="it-IT"/>
        </w:rPr>
        <w:br/>
        <w:t xml:space="preserve">SO.CO.EM. s.r.l., in persona del legale rappresentante </w:t>
      </w:r>
      <w:proofErr w:type="spellStart"/>
      <w:r w:rsidRPr="005D4A03">
        <w:rPr>
          <w:rFonts w:eastAsia="Times New Roman" w:cstheme="minorHAnsi"/>
          <w:color w:val="3D3B39"/>
          <w:sz w:val="20"/>
          <w:szCs w:val="20"/>
          <w:lang w:eastAsia="it-IT"/>
        </w:rPr>
        <w:t>p.t.</w:t>
      </w:r>
      <w:proofErr w:type="spellEnd"/>
      <w:r w:rsidRPr="005D4A03">
        <w:rPr>
          <w:rFonts w:eastAsia="Times New Roman" w:cstheme="minorHAnsi"/>
          <w:color w:val="3D3B39"/>
          <w:sz w:val="20"/>
          <w:szCs w:val="20"/>
          <w:lang w:eastAsia="it-IT"/>
        </w:rPr>
        <w:t xml:space="preserve">, rappresentato e difeso dall'avvocato Antonella Mirabile, con domicilio eletto presso il suo studio in Perugia, via Fiume, 17;  </w:t>
      </w:r>
      <w:r w:rsidRPr="005D4A03">
        <w:rPr>
          <w:rFonts w:eastAsia="Times New Roman" w:cstheme="minorHAnsi"/>
          <w:color w:val="3D3B39"/>
          <w:sz w:val="20"/>
          <w:szCs w:val="20"/>
          <w:lang w:eastAsia="it-IT"/>
        </w:rPr>
        <w:br/>
      </w:r>
      <w:r w:rsidRPr="005D4A03">
        <w:rPr>
          <w:rFonts w:eastAsia="Times New Roman" w:cstheme="minorHAnsi"/>
          <w:b/>
          <w:bCs/>
          <w:i/>
          <w:iCs/>
          <w:color w:val="3D3B39"/>
          <w:sz w:val="20"/>
          <w:szCs w:val="20"/>
          <w:lang w:eastAsia="it-IT"/>
        </w:rPr>
        <w:t>contro</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t xml:space="preserve">Comune di Bevagna, in persona del legale rappresentante </w:t>
      </w:r>
      <w:proofErr w:type="spellStart"/>
      <w:r w:rsidRPr="005D4A03">
        <w:rPr>
          <w:rFonts w:eastAsia="Times New Roman" w:cstheme="minorHAnsi"/>
          <w:color w:val="3D3B39"/>
          <w:sz w:val="20"/>
          <w:szCs w:val="20"/>
          <w:lang w:eastAsia="it-IT"/>
        </w:rPr>
        <w:t>p.t.</w:t>
      </w:r>
      <w:proofErr w:type="spellEnd"/>
      <w:r w:rsidRPr="005D4A03">
        <w:rPr>
          <w:rFonts w:eastAsia="Times New Roman" w:cstheme="minorHAnsi"/>
          <w:color w:val="3D3B39"/>
          <w:sz w:val="20"/>
          <w:szCs w:val="20"/>
          <w:lang w:eastAsia="it-IT"/>
        </w:rPr>
        <w:t xml:space="preserve">, rappresentato e difeso dall'avvocato Valentino </w:t>
      </w:r>
      <w:proofErr w:type="spellStart"/>
      <w:r w:rsidRPr="005D4A03">
        <w:rPr>
          <w:rFonts w:eastAsia="Times New Roman" w:cstheme="minorHAnsi"/>
          <w:color w:val="3D3B39"/>
          <w:sz w:val="20"/>
          <w:szCs w:val="20"/>
          <w:lang w:eastAsia="it-IT"/>
        </w:rPr>
        <w:t>Brizi</w:t>
      </w:r>
      <w:proofErr w:type="spellEnd"/>
      <w:r w:rsidRPr="005D4A03">
        <w:rPr>
          <w:rFonts w:eastAsia="Times New Roman" w:cstheme="minorHAnsi"/>
          <w:color w:val="3D3B39"/>
          <w:sz w:val="20"/>
          <w:szCs w:val="20"/>
          <w:lang w:eastAsia="it-IT"/>
        </w:rPr>
        <w:t xml:space="preserve">, con domicilio eletto presso il suo studio in Giustizia, </w:t>
      </w:r>
      <w:proofErr w:type="spellStart"/>
      <w:r w:rsidRPr="005D4A03">
        <w:rPr>
          <w:rFonts w:eastAsia="Times New Roman" w:cstheme="minorHAnsi"/>
          <w:color w:val="3D3B39"/>
          <w:sz w:val="20"/>
          <w:szCs w:val="20"/>
          <w:lang w:eastAsia="it-IT"/>
        </w:rPr>
        <w:t>Pec</w:t>
      </w:r>
      <w:proofErr w:type="spellEnd"/>
      <w:r w:rsidRPr="005D4A03">
        <w:rPr>
          <w:rFonts w:eastAsia="Times New Roman" w:cstheme="minorHAnsi"/>
          <w:color w:val="3D3B39"/>
          <w:sz w:val="20"/>
          <w:szCs w:val="20"/>
          <w:lang w:eastAsia="it-IT"/>
        </w:rPr>
        <w:t xml:space="preserve"> Registri; </w:t>
      </w:r>
      <w:r w:rsidRPr="005D4A03">
        <w:rPr>
          <w:rFonts w:eastAsia="Times New Roman" w:cstheme="minorHAnsi"/>
          <w:color w:val="3D3B39"/>
          <w:sz w:val="20"/>
          <w:szCs w:val="20"/>
          <w:lang w:eastAsia="it-IT"/>
        </w:rPr>
        <w:br/>
        <w:t xml:space="preserve">Unione dei Comuni "Terre dell'Olio e del Sagrantino" non costituito in giudizio;  </w:t>
      </w:r>
      <w:r w:rsidRPr="005D4A03">
        <w:rPr>
          <w:rFonts w:eastAsia="Times New Roman" w:cstheme="minorHAnsi"/>
          <w:color w:val="3D3B39"/>
          <w:sz w:val="20"/>
          <w:szCs w:val="20"/>
          <w:lang w:eastAsia="it-IT"/>
        </w:rPr>
        <w:br/>
      </w:r>
      <w:r w:rsidRPr="005D4A03">
        <w:rPr>
          <w:rFonts w:eastAsia="Times New Roman" w:cstheme="minorHAnsi"/>
          <w:b/>
          <w:bCs/>
          <w:i/>
          <w:iCs/>
          <w:color w:val="3D3B39"/>
          <w:sz w:val="20"/>
          <w:szCs w:val="20"/>
          <w:lang w:eastAsia="it-IT"/>
        </w:rPr>
        <w:t>nei confronti</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proofErr w:type="spellStart"/>
      <w:r w:rsidRPr="005D4A03">
        <w:rPr>
          <w:rFonts w:eastAsia="Times New Roman" w:cstheme="minorHAnsi"/>
          <w:color w:val="3D3B39"/>
          <w:sz w:val="20"/>
          <w:szCs w:val="20"/>
          <w:lang w:eastAsia="it-IT"/>
        </w:rPr>
        <w:t>Gbm</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Soc</w:t>
      </w:r>
      <w:proofErr w:type="spellEnd"/>
      <w:r w:rsidRPr="005D4A03">
        <w:rPr>
          <w:rFonts w:eastAsia="Times New Roman" w:cstheme="minorHAnsi"/>
          <w:color w:val="3D3B39"/>
          <w:sz w:val="20"/>
          <w:szCs w:val="20"/>
          <w:lang w:eastAsia="it-IT"/>
        </w:rPr>
        <w:t xml:space="preserve">. Coop. e </w:t>
      </w:r>
      <w:proofErr w:type="spellStart"/>
      <w:r w:rsidRPr="005D4A03">
        <w:rPr>
          <w:rFonts w:eastAsia="Times New Roman" w:cstheme="minorHAnsi"/>
          <w:color w:val="3D3B39"/>
          <w:sz w:val="20"/>
          <w:szCs w:val="20"/>
          <w:lang w:eastAsia="it-IT"/>
        </w:rPr>
        <w:t>Sa.Ma</w:t>
      </w:r>
      <w:proofErr w:type="spellEnd"/>
      <w:r w:rsidRPr="005D4A03">
        <w:rPr>
          <w:rFonts w:eastAsia="Times New Roman" w:cstheme="minorHAnsi"/>
          <w:color w:val="3D3B39"/>
          <w:sz w:val="20"/>
          <w:szCs w:val="20"/>
          <w:lang w:eastAsia="it-IT"/>
        </w:rPr>
        <w:t xml:space="preserve">. s.a.s. di </w:t>
      </w:r>
      <w:proofErr w:type="spellStart"/>
      <w:r w:rsidRPr="005D4A03">
        <w:rPr>
          <w:rFonts w:eastAsia="Times New Roman" w:cstheme="minorHAnsi"/>
          <w:color w:val="3D3B39"/>
          <w:sz w:val="20"/>
          <w:szCs w:val="20"/>
          <w:lang w:eastAsia="it-IT"/>
        </w:rPr>
        <w:t>Salvischiani</w:t>
      </w:r>
      <w:proofErr w:type="spellEnd"/>
      <w:r w:rsidRPr="005D4A03">
        <w:rPr>
          <w:rFonts w:eastAsia="Times New Roman" w:cstheme="minorHAnsi"/>
          <w:color w:val="3D3B39"/>
          <w:sz w:val="20"/>
          <w:szCs w:val="20"/>
          <w:lang w:eastAsia="it-IT"/>
        </w:rPr>
        <w:t xml:space="preserve"> P.&amp;C. non costituiti in giudizio;  </w:t>
      </w:r>
      <w:r w:rsidRPr="005D4A03">
        <w:rPr>
          <w:rFonts w:eastAsia="Times New Roman" w:cstheme="minorHAnsi"/>
          <w:color w:val="3D3B39"/>
          <w:sz w:val="20"/>
          <w:szCs w:val="20"/>
          <w:lang w:eastAsia="it-IT"/>
        </w:rPr>
        <w:br/>
      </w:r>
      <w:r w:rsidRPr="005D4A03">
        <w:rPr>
          <w:rFonts w:eastAsia="Times New Roman" w:cstheme="minorHAnsi"/>
          <w:b/>
          <w:bCs/>
          <w:i/>
          <w:iCs/>
          <w:color w:val="3D3B39"/>
          <w:sz w:val="20"/>
          <w:szCs w:val="20"/>
          <w:lang w:eastAsia="it-IT"/>
        </w:rPr>
        <w:t>Per quanto riguarda il ricorso introduttivo:</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t xml:space="preserve">per l'annullamento, </w:t>
      </w:r>
      <w:r w:rsidRPr="005D4A03">
        <w:rPr>
          <w:rFonts w:eastAsia="Times New Roman" w:cstheme="minorHAnsi"/>
          <w:color w:val="3D3B39"/>
          <w:sz w:val="20"/>
          <w:szCs w:val="20"/>
          <w:lang w:eastAsia="it-IT"/>
        </w:rPr>
        <w:br/>
        <w:t xml:space="preserve">- del provvedimento implicito di revoca della graduatoria provvisoria del 23 febbraio 2018, relativa alla procedura negoziata senza previa pubblicazione di un bando di gara avente ad oggetto l'“Intervento di </w:t>
      </w:r>
      <w:proofErr w:type="spellStart"/>
      <w:r w:rsidRPr="005D4A03">
        <w:rPr>
          <w:rFonts w:eastAsia="Times New Roman" w:cstheme="minorHAnsi"/>
          <w:color w:val="3D3B39"/>
          <w:sz w:val="20"/>
          <w:szCs w:val="20"/>
          <w:lang w:eastAsia="it-IT"/>
        </w:rPr>
        <w:t>efficientamento</w:t>
      </w:r>
      <w:proofErr w:type="spellEnd"/>
      <w:r w:rsidRPr="005D4A03">
        <w:rPr>
          <w:rFonts w:eastAsia="Times New Roman" w:cstheme="minorHAnsi"/>
          <w:color w:val="3D3B39"/>
          <w:sz w:val="20"/>
          <w:szCs w:val="20"/>
          <w:lang w:eastAsia="it-IT"/>
        </w:rPr>
        <w:t xml:space="preserve"> energetico della scuola primaria “Ten. Ugo Marini” di Bevagna sita in Piazza San Francesco”, CIG: 7346582F3D - CUP: B16J17000610002 nonché di revoca del provvedimento di avvio del sub-procedimento di verifica di anomalia dell'offerta, conosciuto in data 12 aprile 2018 mediante comunicazione </w:t>
      </w:r>
      <w:proofErr w:type="spellStart"/>
      <w:r w:rsidRPr="005D4A03">
        <w:rPr>
          <w:rFonts w:eastAsia="Times New Roman" w:cstheme="minorHAnsi"/>
          <w:color w:val="3D3B39"/>
          <w:sz w:val="20"/>
          <w:szCs w:val="20"/>
          <w:lang w:eastAsia="it-IT"/>
        </w:rPr>
        <w:t>pec</w:t>
      </w:r>
      <w:proofErr w:type="spellEnd"/>
      <w:r w:rsidRPr="005D4A03">
        <w:rPr>
          <w:rFonts w:eastAsia="Times New Roman" w:cstheme="minorHAnsi"/>
          <w:color w:val="3D3B39"/>
          <w:sz w:val="20"/>
          <w:szCs w:val="20"/>
          <w:lang w:eastAsia="it-IT"/>
        </w:rPr>
        <w:t xml:space="preserve"> del verbale di gara del 6 aprile 2018; </w:t>
      </w:r>
      <w:r w:rsidRPr="005D4A03">
        <w:rPr>
          <w:rFonts w:eastAsia="Times New Roman" w:cstheme="minorHAnsi"/>
          <w:color w:val="3D3B39"/>
          <w:sz w:val="20"/>
          <w:szCs w:val="20"/>
          <w:lang w:eastAsia="it-IT"/>
        </w:rPr>
        <w:br/>
        <w:t xml:space="preserve">- del provvedimento di esclusione dell'ATI SO.CO.EM. s.r.l./SIMAIT SERVICE s.r.l. </w:t>
      </w:r>
      <w:proofErr w:type="spellStart"/>
      <w:r w:rsidRPr="005D4A03">
        <w:rPr>
          <w:rFonts w:eastAsia="Times New Roman" w:cstheme="minorHAnsi"/>
          <w:color w:val="3D3B39"/>
          <w:sz w:val="20"/>
          <w:szCs w:val="20"/>
          <w:lang w:eastAsia="it-IT"/>
        </w:rPr>
        <w:t>prot</w:t>
      </w:r>
      <w:proofErr w:type="spellEnd"/>
      <w:r w:rsidRPr="005D4A03">
        <w:rPr>
          <w:rFonts w:eastAsia="Times New Roman" w:cstheme="minorHAnsi"/>
          <w:color w:val="3D3B39"/>
          <w:sz w:val="20"/>
          <w:szCs w:val="20"/>
          <w:lang w:eastAsia="it-IT"/>
        </w:rPr>
        <w:t xml:space="preserve">. n. 4650 del 12 aprile 2018 dalla Gara, comunicato via </w:t>
      </w:r>
      <w:proofErr w:type="spellStart"/>
      <w:r w:rsidRPr="005D4A03">
        <w:rPr>
          <w:rFonts w:eastAsia="Times New Roman" w:cstheme="minorHAnsi"/>
          <w:color w:val="3D3B39"/>
          <w:sz w:val="20"/>
          <w:szCs w:val="20"/>
          <w:lang w:eastAsia="it-IT"/>
        </w:rPr>
        <w:t>pec</w:t>
      </w:r>
      <w:proofErr w:type="spellEnd"/>
      <w:r w:rsidRPr="005D4A03">
        <w:rPr>
          <w:rFonts w:eastAsia="Times New Roman" w:cstheme="minorHAnsi"/>
          <w:color w:val="3D3B39"/>
          <w:sz w:val="20"/>
          <w:szCs w:val="20"/>
          <w:lang w:eastAsia="it-IT"/>
        </w:rPr>
        <w:t xml:space="preserve"> in pari data; </w:t>
      </w:r>
      <w:r w:rsidRPr="005D4A03">
        <w:rPr>
          <w:rFonts w:eastAsia="Times New Roman" w:cstheme="minorHAnsi"/>
          <w:color w:val="3D3B39"/>
          <w:sz w:val="20"/>
          <w:szCs w:val="20"/>
          <w:lang w:eastAsia="it-IT"/>
        </w:rPr>
        <w:br/>
        <w:t xml:space="preserve">- del verbale di gara del 6 aprile 2018 con il quale il R.U.P. </w:t>
      </w:r>
      <w:proofErr w:type="spellStart"/>
      <w:r w:rsidRPr="005D4A03">
        <w:rPr>
          <w:rFonts w:eastAsia="Times New Roman" w:cstheme="minorHAnsi"/>
          <w:color w:val="3D3B39"/>
          <w:sz w:val="20"/>
          <w:szCs w:val="20"/>
          <w:lang w:eastAsia="it-IT"/>
        </w:rPr>
        <w:t>p.t.</w:t>
      </w:r>
      <w:proofErr w:type="spellEnd"/>
      <w:r w:rsidRPr="005D4A03">
        <w:rPr>
          <w:rFonts w:eastAsia="Times New Roman" w:cstheme="minorHAnsi"/>
          <w:color w:val="3D3B39"/>
          <w:sz w:val="20"/>
          <w:szCs w:val="20"/>
          <w:lang w:eastAsia="it-IT"/>
        </w:rPr>
        <w:t xml:space="preserve"> Arch. Michele </w:t>
      </w:r>
      <w:proofErr w:type="spellStart"/>
      <w:r w:rsidRPr="005D4A03">
        <w:rPr>
          <w:rFonts w:eastAsia="Times New Roman" w:cstheme="minorHAnsi"/>
          <w:color w:val="3D3B39"/>
          <w:sz w:val="20"/>
          <w:szCs w:val="20"/>
          <w:lang w:eastAsia="it-IT"/>
        </w:rPr>
        <w:t>Battistini</w:t>
      </w:r>
      <w:proofErr w:type="spellEnd"/>
      <w:r w:rsidRPr="005D4A03">
        <w:rPr>
          <w:rFonts w:eastAsia="Times New Roman" w:cstheme="minorHAnsi"/>
          <w:color w:val="3D3B39"/>
          <w:sz w:val="20"/>
          <w:szCs w:val="20"/>
          <w:lang w:eastAsia="it-IT"/>
        </w:rPr>
        <w:t xml:space="preserve">, nominato con D.G.C. n. 63 del 26 febbraio 2018, ha riaperto la procedura di gara; </w:t>
      </w:r>
      <w:r w:rsidRPr="005D4A03">
        <w:rPr>
          <w:rFonts w:eastAsia="Times New Roman" w:cstheme="minorHAnsi"/>
          <w:color w:val="3D3B39"/>
          <w:sz w:val="20"/>
          <w:szCs w:val="20"/>
          <w:lang w:eastAsia="it-IT"/>
        </w:rPr>
        <w:br/>
        <w:t xml:space="preserve">- di ogni altro atto presupposto, connesso o consequenziale ad essi; </w:t>
      </w:r>
      <w:r w:rsidRPr="005D4A03">
        <w:rPr>
          <w:rFonts w:eastAsia="Times New Roman" w:cstheme="minorHAnsi"/>
          <w:color w:val="3D3B39"/>
          <w:sz w:val="20"/>
          <w:szCs w:val="20"/>
          <w:lang w:eastAsia="it-IT"/>
        </w:rPr>
        <w:br/>
        <w:t xml:space="preserve">- nonché, per quanto occorrer possa, dell'eventuale provvedimento di rigetto ovvero del silenzio che dovesse medio tempore formarsi in relazione all'istanza di annullamento in autotutela inviata dall'odierna ricorrente a mezzo </w:t>
      </w:r>
      <w:proofErr w:type="spellStart"/>
      <w:r w:rsidRPr="005D4A03">
        <w:rPr>
          <w:rFonts w:eastAsia="Times New Roman" w:cstheme="minorHAnsi"/>
          <w:color w:val="3D3B39"/>
          <w:sz w:val="20"/>
          <w:szCs w:val="20"/>
          <w:lang w:eastAsia="it-IT"/>
        </w:rPr>
        <w:t>pec</w:t>
      </w:r>
      <w:proofErr w:type="spellEnd"/>
      <w:r w:rsidRPr="005D4A03">
        <w:rPr>
          <w:rFonts w:eastAsia="Times New Roman" w:cstheme="minorHAnsi"/>
          <w:color w:val="3D3B39"/>
          <w:sz w:val="20"/>
          <w:szCs w:val="20"/>
          <w:lang w:eastAsia="it-IT"/>
        </w:rPr>
        <w:t xml:space="preserve"> alle Amministrazioni resistenti in data 7 maggio 2018. </w:t>
      </w:r>
      <w:r w:rsidRPr="005D4A03">
        <w:rPr>
          <w:rFonts w:eastAsia="Times New Roman" w:cstheme="minorHAnsi"/>
          <w:color w:val="3D3B39"/>
          <w:sz w:val="20"/>
          <w:szCs w:val="20"/>
          <w:lang w:eastAsia="it-IT"/>
        </w:rPr>
        <w:br/>
        <w:t xml:space="preserve">b) la declaratoria dell'obbligo per l'Amministrazione resistente di procedere alla verifica dell'anomalia dell'offerta del ATI SO.CO.EM. s.r.l./SIMAIT SERVICE s.r.l.; </w:t>
      </w:r>
      <w:r w:rsidRPr="005D4A03">
        <w:rPr>
          <w:rFonts w:eastAsia="Times New Roman" w:cstheme="minorHAnsi"/>
          <w:color w:val="3D3B39"/>
          <w:sz w:val="20"/>
          <w:szCs w:val="20"/>
          <w:lang w:eastAsia="it-IT"/>
        </w:rPr>
        <w:br/>
        <w:t xml:space="preserve">c) in subordine, per la declaratoria di inefficacia del contratto eventualmente stipulato in corso di giudizio dal Comune di Bevagna; </w:t>
      </w:r>
      <w:r w:rsidRPr="005D4A03">
        <w:rPr>
          <w:rFonts w:eastAsia="Times New Roman" w:cstheme="minorHAnsi"/>
          <w:color w:val="3D3B39"/>
          <w:sz w:val="20"/>
          <w:szCs w:val="20"/>
          <w:lang w:eastAsia="it-IT"/>
        </w:rPr>
        <w:br/>
        <w:t xml:space="preserve">d) in ulteriore subordine per il risarcimento dei danni patiti dalla ricorrente in conseguenza dell'illegittima revoca implicita e dell'illegittima esclusione e del correlativo mancato guadagno. </w:t>
      </w:r>
      <w:r w:rsidRPr="005D4A03">
        <w:rPr>
          <w:rFonts w:eastAsia="Times New Roman" w:cstheme="minorHAnsi"/>
          <w:color w:val="3D3B39"/>
          <w:sz w:val="20"/>
          <w:szCs w:val="20"/>
          <w:lang w:eastAsia="it-IT"/>
        </w:rPr>
        <w:br/>
        <w:t xml:space="preserve">Per quanto riguarda i motivi aggiunti presentati da SO.CO.EM. s.r.l. il 2 luglio 2018: </w:t>
      </w:r>
      <w:r w:rsidRPr="005D4A03">
        <w:rPr>
          <w:rFonts w:eastAsia="Times New Roman" w:cstheme="minorHAnsi"/>
          <w:color w:val="3D3B39"/>
          <w:sz w:val="20"/>
          <w:szCs w:val="20"/>
          <w:lang w:eastAsia="it-IT"/>
        </w:rPr>
        <w:br/>
        <w:t xml:space="preserve">a) l'annullamento, in aggiunta ai provvedimenti già impugnati nel ricorso introduttivo </w:t>
      </w:r>
      <w:r w:rsidRPr="005D4A03">
        <w:rPr>
          <w:rFonts w:eastAsia="Times New Roman" w:cstheme="minorHAnsi"/>
          <w:color w:val="3D3B39"/>
          <w:sz w:val="20"/>
          <w:szCs w:val="20"/>
          <w:lang w:eastAsia="it-IT"/>
        </w:rPr>
        <w:br/>
        <w:t xml:space="preserve">- della Determinazione del Responsabile dell'Area Tecnica n. 121/423 del 19 giugno 2018 di aggiudicazione definitiva dei lavori di </w:t>
      </w:r>
      <w:proofErr w:type="spellStart"/>
      <w:r w:rsidRPr="005D4A03">
        <w:rPr>
          <w:rFonts w:eastAsia="Times New Roman" w:cstheme="minorHAnsi"/>
          <w:color w:val="3D3B39"/>
          <w:sz w:val="20"/>
          <w:szCs w:val="20"/>
          <w:lang w:eastAsia="it-IT"/>
        </w:rPr>
        <w:t>efficientamento</w:t>
      </w:r>
      <w:proofErr w:type="spellEnd"/>
      <w:r w:rsidRPr="005D4A03">
        <w:rPr>
          <w:rFonts w:eastAsia="Times New Roman" w:cstheme="minorHAnsi"/>
          <w:color w:val="3D3B39"/>
          <w:sz w:val="20"/>
          <w:szCs w:val="20"/>
          <w:lang w:eastAsia="it-IT"/>
        </w:rPr>
        <w:t xml:space="preserve"> energetico della scuola primaria “Ten. Ugo Marini” di Bevagna sita in Piazza San Francesco alla ditta SA.MA. s.a.s. di </w:t>
      </w:r>
      <w:proofErr w:type="spellStart"/>
      <w:r w:rsidRPr="005D4A03">
        <w:rPr>
          <w:rFonts w:eastAsia="Times New Roman" w:cstheme="minorHAnsi"/>
          <w:color w:val="3D3B39"/>
          <w:sz w:val="20"/>
          <w:szCs w:val="20"/>
          <w:lang w:eastAsia="it-IT"/>
        </w:rPr>
        <w:t>Salvischiani</w:t>
      </w:r>
      <w:proofErr w:type="spellEnd"/>
      <w:r w:rsidRPr="005D4A03">
        <w:rPr>
          <w:rFonts w:eastAsia="Times New Roman" w:cstheme="minorHAnsi"/>
          <w:color w:val="3D3B39"/>
          <w:sz w:val="20"/>
          <w:szCs w:val="20"/>
          <w:lang w:eastAsia="it-IT"/>
        </w:rPr>
        <w:t xml:space="preserve"> P.&amp;C., comunicata al ricorrente in data 19 giugno 2018; </w:t>
      </w:r>
      <w:r w:rsidRPr="005D4A03">
        <w:rPr>
          <w:rFonts w:eastAsia="Times New Roman" w:cstheme="minorHAnsi"/>
          <w:color w:val="3D3B39"/>
          <w:sz w:val="20"/>
          <w:szCs w:val="20"/>
          <w:lang w:eastAsia="it-IT"/>
        </w:rPr>
        <w:br/>
        <w:t xml:space="preserve">- di qualsiasi altro atto presupposto, consequenziale o comunque connesso, ivi compresi, per quanto occorrer possa, tutti i verbali di gara successivi al 6 aprile 2018 e di ogni altro atto non conosciuto dalla ricorrente; </w:t>
      </w:r>
      <w:r w:rsidRPr="005D4A03">
        <w:rPr>
          <w:rFonts w:eastAsia="Times New Roman" w:cstheme="minorHAnsi"/>
          <w:color w:val="3D3B39"/>
          <w:sz w:val="20"/>
          <w:szCs w:val="20"/>
          <w:lang w:eastAsia="it-IT"/>
        </w:rPr>
        <w:br/>
        <w:t xml:space="preserve">b) la declaratoria di inefficacia del contratto di appalto eventualmente stipulato o da stipularsi tra il Comune di Bevagna e la SA. MA. s.a.s. di </w:t>
      </w:r>
      <w:proofErr w:type="spellStart"/>
      <w:r w:rsidRPr="005D4A03">
        <w:rPr>
          <w:rFonts w:eastAsia="Times New Roman" w:cstheme="minorHAnsi"/>
          <w:color w:val="3D3B39"/>
          <w:sz w:val="20"/>
          <w:szCs w:val="20"/>
          <w:lang w:eastAsia="it-IT"/>
        </w:rPr>
        <w:t>Salvischiani</w:t>
      </w:r>
      <w:proofErr w:type="spellEnd"/>
      <w:r w:rsidRPr="005D4A03">
        <w:rPr>
          <w:rFonts w:eastAsia="Times New Roman" w:cstheme="minorHAnsi"/>
          <w:color w:val="3D3B39"/>
          <w:sz w:val="20"/>
          <w:szCs w:val="20"/>
          <w:lang w:eastAsia="it-IT"/>
        </w:rPr>
        <w:t xml:space="preserve"> P.&amp;C.; </w:t>
      </w:r>
      <w:r w:rsidRPr="005D4A03">
        <w:rPr>
          <w:rFonts w:eastAsia="Times New Roman" w:cstheme="minorHAnsi"/>
          <w:color w:val="3D3B39"/>
          <w:sz w:val="20"/>
          <w:szCs w:val="20"/>
          <w:lang w:eastAsia="it-IT"/>
        </w:rPr>
        <w:br/>
        <w:t xml:space="preserve">c) in subordine, la declaratoria del diritto della ricorrente al subentro nel predetto contratto; </w:t>
      </w:r>
      <w:r w:rsidRPr="005D4A03">
        <w:rPr>
          <w:rFonts w:eastAsia="Times New Roman" w:cstheme="minorHAnsi"/>
          <w:color w:val="3D3B39"/>
          <w:sz w:val="20"/>
          <w:szCs w:val="20"/>
          <w:lang w:eastAsia="it-IT"/>
        </w:rPr>
        <w:br/>
        <w:t xml:space="preserve">d) in ulteriore subordine, per il risarcimento dei danni patiti dalla ricorrente in conseguenza dell'illegittimità del comportamento e degli atti impugnati con il ricorso e con il presente ricorso per motivi aggiunti.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Visti il ricorso, i motivi aggiunti e i relativi allegati; </w:t>
      </w:r>
      <w:r w:rsidRPr="005D4A03">
        <w:rPr>
          <w:rFonts w:eastAsia="Times New Roman" w:cstheme="minorHAnsi"/>
          <w:color w:val="3D3B39"/>
          <w:sz w:val="20"/>
          <w:szCs w:val="20"/>
          <w:lang w:eastAsia="it-IT"/>
        </w:rPr>
        <w:br/>
        <w:t xml:space="preserve">Visto l'atto di costituzione in giudizio del Comune di Bevagna; </w:t>
      </w:r>
      <w:r w:rsidRPr="005D4A03">
        <w:rPr>
          <w:rFonts w:eastAsia="Times New Roman" w:cstheme="minorHAnsi"/>
          <w:color w:val="3D3B39"/>
          <w:sz w:val="20"/>
          <w:szCs w:val="20"/>
          <w:lang w:eastAsia="it-IT"/>
        </w:rPr>
        <w:br/>
        <w:t xml:space="preserve">Viste le memorie difensive; </w:t>
      </w:r>
      <w:r w:rsidRPr="005D4A03">
        <w:rPr>
          <w:rFonts w:eastAsia="Times New Roman" w:cstheme="minorHAnsi"/>
          <w:color w:val="3D3B39"/>
          <w:sz w:val="20"/>
          <w:szCs w:val="20"/>
          <w:lang w:eastAsia="it-IT"/>
        </w:rPr>
        <w:br/>
        <w:t xml:space="preserve">Visti tutti gli atti della causa;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lastRenderedPageBreak/>
        <w:t xml:space="preserve">Visti gli artt. 74 e 120, comma 10,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t xml:space="preserve">Relatore nell'udienza pubblica del giorno 24 luglio 2018 la dott.ssa Daniela </w:t>
      </w:r>
      <w:proofErr w:type="spellStart"/>
      <w:r w:rsidRPr="005D4A03">
        <w:rPr>
          <w:rFonts w:eastAsia="Times New Roman" w:cstheme="minorHAnsi"/>
          <w:color w:val="3D3B39"/>
          <w:sz w:val="20"/>
          <w:szCs w:val="20"/>
          <w:lang w:eastAsia="it-IT"/>
        </w:rPr>
        <w:t>Carrarelli</w:t>
      </w:r>
      <w:proofErr w:type="spellEnd"/>
      <w:r w:rsidRPr="005D4A03">
        <w:rPr>
          <w:rFonts w:eastAsia="Times New Roman" w:cstheme="minorHAnsi"/>
          <w:color w:val="3D3B39"/>
          <w:sz w:val="20"/>
          <w:szCs w:val="20"/>
          <w:lang w:eastAsia="it-IT"/>
        </w:rPr>
        <w:t xml:space="preserve"> e uditi per le parti i difensori come specificato nel verbale; </w:t>
      </w:r>
      <w:r w:rsidRPr="005D4A03">
        <w:rPr>
          <w:rFonts w:eastAsia="Times New Roman" w:cstheme="minorHAnsi"/>
          <w:color w:val="3D3B39"/>
          <w:sz w:val="20"/>
          <w:szCs w:val="20"/>
          <w:lang w:eastAsia="it-IT"/>
        </w:rPr>
        <w:br/>
        <w:t xml:space="preserve">Ritenuto e considerato in fatto e in diritto quanto segue. </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FATTO</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 xml:space="preserve">1. La SO.CO.EM. s.r.l., in persona del procuratore generale geom. Mario </w:t>
      </w:r>
      <w:proofErr w:type="spellStart"/>
      <w:r w:rsidRPr="005D4A03">
        <w:rPr>
          <w:rFonts w:eastAsia="Times New Roman" w:cstheme="minorHAnsi"/>
          <w:color w:val="3D3B39"/>
          <w:sz w:val="20"/>
          <w:szCs w:val="20"/>
          <w:lang w:eastAsia="it-IT"/>
        </w:rPr>
        <w:t>Battistone</w:t>
      </w:r>
      <w:proofErr w:type="spellEnd"/>
      <w:r w:rsidRPr="005D4A03">
        <w:rPr>
          <w:rFonts w:eastAsia="Times New Roman" w:cstheme="minorHAnsi"/>
          <w:color w:val="3D3B39"/>
          <w:sz w:val="20"/>
          <w:szCs w:val="20"/>
          <w:lang w:eastAsia="it-IT"/>
        </w:rPr>
        <w:t xml:space="preserve">, in proprio e quale mandataria del costituendo ATI con la ditta SIMAIT SERVICE s.r.l., ha adito questo Tribunale amministrativo regionale chiedendo: </w:t>
      </w:r>
      <w:r w:rsidRPr="005D4A03">
        <w:rPr>
          <w:rFonts w:eastAsia="Times New Roman" w:cstheme="minorHAnsi"/>
          <w:color w:val="3D3B39"/>
          <w:sz w:val="20"/>
          <w:szCs w:val="20"/>
          <w:lang w:eastAsia="it-IT"/>
        </w:rPr>
        <w:br/>
        <w:t xml:space="preserve">a) l’annullamento, previa adozione delle idonee misure cautelari: </w:t>
      </w:r>
      <w:r w:rsidRPr="005D4A03">
        <w:rPr>
          <w:rFonts w:eastAsia="Times New Roman" w:cstheme="minorHAnsi"/>
          <w:color w:val="3D3B39"/>
          <w:sz w:val="20"/>
          <w:szCs w:val="20"/>
          <w:lang w:eastAsia="it-IT"/>
        </w:rPr>
        <w:br/>
        <w:t xml:space="preserve">- del provvedimento implicito di revoca della graduatoria provvisoria del 23 febbraio 2018, relativa alla procedura negoziata senza previa pubblicazione di un bando di gara avente ad oggetto l’“Intervento di </w:t>
      </w:r>
      <w:proofErr w:type="spellStart"/>
      <w:r w:rsidRPr="005D4A03">
        <w:rPr>
          <w:rFonts w:eastAsia="Times New Roman" w:cstheme="minorHAnsi"/>
          <w:color w:val="3D3B39"/>
          <w:sz w:val="20"/>
          <w:szCs w:val="20"/>
          <w:lang w:eastAsia="it-IT"/>
        </w:rPr>
        <w:t>efficientamento</w:t>
      </w:r>
      <w:proofErr w:type="spellEnd"/>
      <w:r w:rsidRPr="005D4A03">
        <w:rPr>
          <w:rFonts w:eastAsia="Times New Roman" w:cstheme="minorHAnsi"/>
          <w:color w:val="3D3B39"/>
          <w:sz w:val="20"/>
          <w:szCs w:val="20"/>
          <w:lang w:eastAsia="it-IT"/>
        </w:rPr>
        <w:t xml:space="preserve"> energetico della scuola primaria “Ten. Ugo Marini” di Bevagna sita in Piazza San Francesco”, CIG: 7346582F3D - CUP: B16J17000610002 nonché di revoca del provvedimento di avvio del sub-procedimento di verifica di anomalia dell’offerta, conosciuto in data 12 aprile 2018 mediante comunicazione </w:t>
      </w:r>
      <w:proofErr w:type="spellStart"/>
      <w:r w:rsidRPr="005D4A03">
        <w:rPr>
          <w:rFonts w:eastAsia="Times New Roman" w:cstheme="minorHAnsi"/>
          <w:color w:val="3D3B39"/>
          <w:sz w:val="20"/>
          <w:szCs w:val="20"/>
          <w:lang w:eastAsia="it-IT"/>
        </w:rPr>
        <w:t>pec</w:t>
      </w:r>
      <w:proofErr w:type="spellEnd"/>
      <w:r w:rsidRPr="005D4A03">
        <w:rPr>
          <w:rFonts w:eastAsia="Times New Roman" w:cstheme="minorHAnsi"/>
          <w:color w:val="3D3B39"/>
          <w:sz w:val="20"/>
          <w:szCs w:val="20"/>
          <w:lang w:eastAsia="it-IT"/>
        </w:rPr>
        <w:t xml:space="preserve"> del verbale di gara del 6 aprile 2018; </w:t>
      </w:r>
      <w:r w:rsidRPr="005D4A03">
        <w:rPr>
          <w:rFonts w:eastAsia="Times New Roman" w:cstheme="minorHAnsi"/>
          <w:color w:val="3D3B39"/>
          <w:sz w:val="20"/>
          <w:szCs w:val="20"/>
          <w:lang w:eastAsia="it-IT"/>
        </w:rPr>
        <w:br/>
        <w:t xml:space="preserve">- del provvedimento di esclusione dell’ATI SO.CO.EM. s.r.l./SIMAIT SERVICE s.r.l. </w:t>
      </w:r>
      <w:proofErr w:type="spellStart"/>
      <w:r w:rsidRPr="005D4A03">
        <w:rPr>
          <w:rFonts w:eastAsia="Times New Roman" w:cstheme="minorHAnsi"/>
          <w:color w:val="3D3B39"/>
          <w:sz w:val="20"/>
          <w:szCs w:val="20"/>
          <w:lang w:eastAsia="it-IT"/>
        </w:rPr>
        <w:t>prot</w:t>
      </w:r>
      <w:proofErr w:type="spellEnd"/>
      <w:r w:rsidRPr="005D4A03">
        <w:rPr>
          <w:rFonts w:eastAsia="Times New Roman" w:cstheme="minorHAnsi"/>
          <w:color w:val="3D3B39"/>
          <w:sz w:val="20"/>
          <w:szCs w:val="20"/>
          <w:lang w:eastAsia="it-IT"/>
        </w:rPr>
        <w:t xml:space="preserve">. n. 4650 del 12 aprile 2018 dalla Gara, comunicato via </w:t>
      </w:r>
      <w:proofErr w:type="spellStart"/>
      <w:r w:rsidRPr="005D4A03">
        <w:rPr>
          <w:rFonts w:eastAsia="Times New Roman" w:cstheme="minorHAnsi"/>
          <w:color w:val="3D3B39"/>
          <w:sz w:val="20"/>
          <w:szCs w:val="20"/>
          <w:lang w:eastAsia="it-IT"/>
        </w:rPr>
        <w:t>pec</w:t>
      </w:r>
      <w:proofErr w:type="spellEnd"/>
      <w:r w:rsidRPr="005D4A03">
        <w:rPr>
          <w:rFonts w:eastAsia="Times New Roman" w:cstheme="minorHAnsi"/>
          <w:color w:val="3D3B39"/>
          <w:sz w:val="20"/>
          <w:szCs w:val="20"/>
          <w:lang w:eastAsia="it-IT"/>
        </w:rPr>
        <w:t xml:space="preserve"> in pari data; </w:t>
      </w:r>
      <w:r w:rsidRPr="005D4A03">
        <w:rPr>
          <w:rFonts w:eastAsia="Times New Roman" w:cstheme="minorHAnsi"/>
          <w:color w:val="3D3B39"/>
          <w:sz w:val="20"/>
          <w:szCs w:val="20"/>
          <w:lang w:eastAsia="it-IT"/>
        </w:rPr>
        <w:br/>
        <w:t xml:space="preserve">- del verbale di gara del 6 aprile 2018 con il quale il R.U.P. </w:t>
      </w:r>
      <w:proofErr w:type="spellStart"/>
      <w:r w:rsidRPr="005D4A03">
        <w:rPr>
          <w:rFonts w:eastAsia="Times New Roman" w:cstheme="minorHAnsi"/>
          <w:color w:val="3D3B39"/>
          <w:sz w:val="20"/>
          <w:szCs w:val="20"/>
          <w:lang w:eastAsia="it-IT"/>
        </w:rPr>
        <w:t>p.t.</w:t>
      </w:r>
      <w:proofErr w:type="spellEnd"/>
      <w:r w:rsidRPr="005D4A03">
        <w:rPr>
          <w:rFonts w:eastAsia="Times New Roman" w:cstheme="minorHAnsi"/>
          <w:color w:val="3D3B39"/>
          <w:sz w:val="20"/>
          <w:szCs w:val="20"/>
          <w:lang w:eastAsia="it-IT"/>
        </w:rPr>
        <w:t xml:space="preserve"> arch. Michele </w:t>
      </w:r>
      <w:proofErr w:type="spellStart"/>
      <w:r w:rsidRPr="005D4A03">
        <w:rPr>
          <w:rFonts w:eastAsia="Times New Roman" w:cstheme="minorHAnsi"/>
          <w:color w:val="3D3B39"/>
          <w:sz w:val="20"/>
          <w:szCs w:val="20"/>
          <w:lang w:eastAsia="it-IT"/>
        </w:rPr>
        <w:t>Battistini</w:t>
      </w:r>
      <w:proofErr w:type="spellEnd"/>
      <w:r w:rsidRPr="005D4A03">
        <w:rPr>
          <w:rFonts w:eastAsia="Times New Roman" w:cstheme="minorHAnsi"/>
          <w:color w:val="3D3B39"/>
          <w:sz w:val="20"/>
          <w:szCs w:val="20"/>
          <w:lang w:eastAsia="it-IT"/>
        </w:rPr>
        <w:t xml:space="preserve">, nominato con D.G.C. n. 63 del 26 febbraio 2018, ha riaperto la procedura di gara; </w:t>
      </w:r>
      <w:r w:rsidRPr="005D4A03">
        <w:rPr>
          <w:rFonts w:eastAsia="Times New Roman" w:cstheme="minorHAnsi"/>
          <w:color w:val="3D3B39"/>
          <w:sz w:val="20"/>
          <w:szCs w:val="20"/>
          <w:lang w:eastAsia="it-IT"/>
        </w:rPr>
        <w:br/>
        <w:t xml:space="preserve">- di ogni altro atto presupposto, connesso o consequenziale ad essi, nonché, per quanto occorrer possa, dell’eventuale provvedimento di rigetto ovvero del silenzio che dovesse medio tempore formarsi in relazione all’istanza di annullamento in autotutela inviata dall’odierna ricorrente a mezzo </w:t>
      </w:r>
      <w:proofErr w:type="spellStart"/>
      <w:r w:rsidRPr="005D4A03">
        <w:rPr>
          <w:rFonts w:eastAsia="Times New Roman" w:cstheme="minorHAnsi"/>
          <w:color w:val="3D3B39"/>
          <w:sz w:val="20"/>
          <w:szCs w:val="20"/>
          <w:lang w:eastAsia="it-IT"/>
        </w:rPr>
        <w:t>pec</w:t>
      </w:r>
      <w:proofErr w:type="spellEnd"/>
      <w:r w:rsidRPr="005D4A03">
        <w:rPr>
          <w:rFonts w:eastAsia="Times New Roman" w:cstheme="minorHAnsi"/>
          <w:color w:val="3D3B39"/>
          <w:sz w:val="20"/>
          <w:szCs w:val="20"/>
          <w:lang w:eastAsia="it-IT"/>
        </w:rPr>
        <w:t xml:space="preserve"> alle Amministrazioni resistenti in data 7 maggio 2018; </w:t>
      </w:r>
      <w:r w:rsidRPr="005D4A03">
        <w:rPr>
          <w:rFonts w:eastAsia="Times New Roman" w:cstheme="minorHAnsi"/>
          <w:color w:val="3D3B39"/>
          <w:sz w:val="20"/>
          <w:szCs w:val="20"/>
          <w:lang w:eastAsia="it-IT"/>
        </w:rPr>
        <w:br/>
        <w:t xml:space="preserve">b) la declaratoria dell’obbligo per l’Amministrazione resistente di procedere alla verifica dell’anomalia dell’offerta del ATI SO.CO.EM. s.r.l./SIMAIT SERVICE s.r.l.; </w:t>
      </w:r>
      <w:r w:rsidRPr="005D4A03">
        <w:rPr>
          <w:rFonts w:eastAsia="Times New Roman" w:cstheme="minorHAnsi"/>
          <w:color w:val="3D3B39"/>
          <w:sz w:val="20"/>
          <w:szCs w:val="20"/>
          <w:lang w:eastAsia="it-IT"/>
        </w:rPr>
        <w:br/>
        <w:t xml:space="preserve">c) in subordine, la declaratoria di inefficacia del contratto eventualmente stipulato in corso di giudizio dal Comune di Bevagna; </w:t>
      </w:r>
      <w:r w:rsidRPr="005D4A03">
        <w:rPr>
          <w:rFonts w:eastAsia="Times New Roman" w:cstheme="minorHAnsi"/>
          <w:color w:val="3D3B39"/>
          <w:sz w:val="20"/>
          <w:szCs w:val="20"/>
          <w:lang w:eastAsia="it-IT"/>
        </w:rPr>
        <w:br/>
        <w:t xml:space="preserve">d) in ulteriore subordine, il risarcimento dei danni patiti dalla ricorrente in conseguenza dell’illegittima revoca implicita e dell’illegittima esclusione e del correlativo mancato guadagno. </w:t>
      </w:r>
      <w:r w:rsidRPr="005D4A03">
        <w:rPr>
          <w:rFonts w:eastAsia="Times New Roman" w:cstheme="minorHAnsi"/>
          <w:color w:val="3D3B39"/>
          <w:sz w:val="20"/>
          <w:szCs w:val="20"/>
          <w:lang w:eastAsia="it-IT"/>
        </w:rPr>
        <w:br/>
        <w:t xml:space="preserve">1.1 Riferisce l’odierna ricorrente che in data 11 gennaio 2018 il Comune di Bevagna inviava ad alcune imprese la lettera di invito per la partecipazione alla citata procedura negoziata; alla lettera era allegata la modulistica della quale si raccomanda l’utilizzo, pur specificando che “il mancato utilizzo dei Moduli predisposti dal comune di Bevagna per la presentazione delle offerte non costituisce causa di esclusione a condizione che siano egualmente trasmesse tutte le dichiarazioni e informazioni in essi richiesti e che siano rilasciate nelle forme previste dalle vigenti disposizioni richiamate nei predetti Moduli”. </w:t>
      </w:r>
      <w:r w:rsidRPr="005D4A03">
        <w:rPr>
          <w:rFonts w:eastAsia="Times New Roman" w:cstheme="minorHAnsi"/>
          <w:color w:val="3D3B39"/>
          <w:sz w:val="20"/>
          <w:szCs w:val="20"/>
          <w:lang w:eastAsia="it-IT"/>
        </w:rPr>
        <w:br/>
        <w:t xml:space="preserve">In data 16 gennaio 2018 alle stesse imprese veniva inviata una nuova comunicazione con nuova modulistica allegata, a causa delle carenze della precedente, ed era contestualmente prorogato il termine per la presentazione delle offerte; tale nuova modulistica conteneva un campo espressamente dedicato all’indicazione dei costi per la manodopera, che da bando non potevano essere inferiori a 10.610 euro. La ricorrente afferma di non aver provveduto alla compilazione del nuovo modello in quanto tratta in errore dalle indicazioni ricevute telefonicamente dalla stessa Amministrazione, in base alle quali l’integrazione sarebbe stata dovuta solo all’erronea indicazione del CIG; circostanza, tuttavia, non provata e smentita dall’Amministrazione, che invece evidenzia come vi sia stata approssimazione e leggerezza da parte della società. </w:t>
      </w:r>
      <w:r w:rsidRPr="005D4A03">
        <w:rPr>
          <w:rFonts w:eastAsia="Times New Roman" w:cstheme="minorHAnsi"/>
          <w:color w:val="3D3B39"/>
          <w:sz w:val="20"/>
          <w:szCs w:val="20"/>
          <w:lang w:eastAsia="it-IT"/>
        </w:rPr>
        <w:br/>
        <w:t xml:space="preserve">Le operazioni di gara erano svolte da una Commissione, appositamente nominata, nei giorni 6 e 9 febbraio 2018, che provvedeva a stilare la proposta di aggiudicazione dei lavori, dove la società ricorrente risultava prima, ma esclusa per anomalia dell’offerta. </w:t>
      </w:r>
      <w:r w:rsidRPr="005D4A03">
        <w:rPr>
          <w:rFonts w:eastAsia="Times New Roman" w:cstheme="minorHAnsi"/>
          <w:color w:val="3D3B39"/>
          <w:sz w:val="20"/>
          <w:szCs w:val="20"/>
          <w:lang w:eastAsia="it-IT"/>
        </w:rPr>
        <w:br/>
        <w:t xml:space="preserve">Con determinazione n. 18 del 20 febbraio 2018 il RUP annullava in autotutela tale atto a causa di errori di calcolo nella determinazione delle soglie di anomalia delle offerte. Il 23 febbraio 2018 la Commissione rinnovava le operazioni stilando una nuova graduatoria provvisoria e invitando le imprese le cui offerte sono risultate anomale a fornire le giustificazioni dei ribassi proposti entro il 12 marzo 2018 (comunicazione all’ATI ricorrente </w:t>
      </w:r>
      <w:proofErr w:type="spellStart"/>
      <w:r w:rsidRPr="005D4A03">
        <w:rPr>
          <w:rFonts w:eastAsia="Times New Roman" w:cstheme="minorHAnsi"/>
          <w:color w:val="3D3B39"/>
          <w:sz w:val="20"/>
          <w:szCs w:val="20"/>
          <w:lang w:eastAsia="it-IT"/>
        </w:rPr>
        <w:t>prot</w:t>
      </w:r>
      <w:proofErr w:type="spellEnd"/>
      <w:r w:rsidRPr="005D4A03">
        <w:rPr>
          <w:rFonts w:eastAsia="Times New Roman" w:cstheme="minorHAnsi"/>
          <w:color w:val="3D3B39"/>
          <w:sz w:val="20"/>
          <w:szCs w:val="20"/>
          <w:lang w:eastAsia="it-IT"/>
        </w:rPr>
        <w:t xml:space="preserve">. 2762 del 23 febbraio 2018), con rinvio delle operazioni al 22 marzo 2018. </w:t>
      </w:r>
      <w:r w:rsidRPr="005D4A03">
        <w:rPr>
          <w:rFonts w:eastAsia="Times New Roman" w:cstheme="minorHAnsi"/>
          <w:color w:val="3D3B39"/>
          <w:sz w:val="20"/>
          <w:szCs w:val="20"/>
          <w:lang w:eastAsia="it-IT"/>
        </w:rPr>
        <w:br/>
        <w:t xml:space="preserve">Nelle more, a causa di problemi di salute del precedente incaricato, l’Amministrazione comunale sostituiva il RUP. Il nuovo RUP provvedeva all’annullamento in autotutela gli atti del 23 febbraio 2018 ed alla prosecuzione degli atti di gara in data 6 aprile 2018. In questa sede, rilevata l’omissione da parte dei ricorrenti dell’indicazione dei costi della manodopera nell’offerta economica, provvedeva ad esclude dalla gara l’ATI rappresentato dalla SO.CO.EM. s.r.l., con atto comunicato a mezzo </w:t>
      </w:r>
      <w:proofErr w:type="spellStart"/>
      <w:r w:rsidRPr="005D4A03">
        <w:rPr>
          <w:rFonts w:eastAsia="Times New Roman" w:cstheme="minorHAnsi"/>
          <w:color w:val="3D3B39"/>
          <w:sz w:val="20"/>
          <w:szCs w:val="20"/>
          <w:lang w:eastAsia="it-IT"/>
        </w:rPr>
        <w:t>pec</w:t>
      </w:r>
      <w:proofErr w:type="spellEnd"/>
      <w:r w:rsidRPr="005D4A03">
        <w:rPr>
          <w:rFonts w:eastAsia="Times New Roman" w:cstheme="minorHAnsi"/>
          <w:color w:val="3D3B39"/>
          <w:sz w:val="20"/>
          <w:szCs w:val="20"/>
          <w:lang w:eastAsia="it-IT"/>
        </w:rPr>
        <w:t xml:space="preserve"> il 12 aprile 2018, </w:t>
      </w:r>
      <w:proofErr w:type="spellStart"/>
      <w:r w:rsidRPr="005D4A03">
        <w:rPr>
          <w:rFonts w:eastAsia="Times New Roman" w:cstheme="minorHAnsi"/>
          <w:color w:val="3D3B39"/>
          <w:sz w:val="20"/>
          <w:szCs w:val="20"/>
          <w:lang w:eastAsia="it-IT"/>
        </w:rPr>
        <w:t>prot</w:t>
      </w:r>
      <w:proofErr w:type="spellEnd"/>
      <w:r w:rsidRPr="005D4A03">
        <w:rPr>
          <w:rFonts w:eastAsia="Times New Roman" w:cstheme="minorHAnsi"/>
          <w:color w:val="3D3B39"/>
          <w:sz w:val="20"/>
          <w:szCs w:val="20"/>
          <w:lang w:eastAsia="it-IT"/>
        </w:rPr>
        <w:t xml:space="preserve">. n. 4650. </w:t>
      </w:r>
      <w:r w:rsidRPr="005D4A03">
        <w:rPr>
          <w:rFonts w:eastAsia="Times New Roman" w:cstheme="minorHAnsi"/>
          <w:color w:val="3D3B39"/>
          <w:sz w:val="20"/>
          <w:szCs w:val="20"/>
          <w:lang w:eastAsia="it-IT"/>
        </w:rPr>
        <w:br/>
        <w:t xml:space="preserve">In data 7 maggio 2018 la ricorrente ha presentato istanza di annullamento in autotutela, che non risulta riscontrata. </w:t>
      </w:r>
      <w:r w:rsidRPr="005D4A03">
        <w:rPr>
          <w:rFonts w:eastAsia="Times New Roman" w:cstheme="minorHAnsi"/>
          <w:color w:val="3D3B39"/>
          <w:sz w:val="20"/>
          <w:szCs w:val="20"/>
          <w:lang w:eastAsia="it-IT"/>
        </w:rPr>
        <w:br/>
        <w:t xml:space="preserve">1.2 La ricorrente affida le proprie censure ai seguenti motivi: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lastRenderedPageBreak/>
        <w:t>I. Violazione artt. 3, 7 e 21 </w:t>
      </w:r>
      <w:proofErr w:type="spellStart"/>
      <w:r w:rsidRPr="005D4A03">
        <w:rPr>
          <w:rFonts w:eastAsia="Times New Roman" w:cstheme="minorHAnsi"/>
          <w:i/>
          <w:iCs/>
          <w:color w:val="3D3B39"/>
          <w:sz w:val="20"/>
          <w:szCs w:val="20"/>
          <w:lang w:eastAsia="it-IT"/>
        </w:rPr>
        <w:t>quinquies</w:t>
      </w:r>
      <w:proofErr w:type="spellEnd"/>
      <w:r w:rsidRPr="005D4A03">
        <w:rPr>
          <w:rFonts w:eastAsia="Times New Roman" w:cstheme="minorHAnsi"/>
          <w:color w:val="3D3B39"/>
          <w:sz w:val="20"/>
          <w:szCs w:val="20"/>
          <w:lang w:eastAsia="it-IT"/>
        </w:rPr>
        <w:t xml:space="preserve"> della l. n. 241 del 1990, in quanto vi sarebbe stata una revoca implicita della seconda aggiudicazione provvisoria, in assenza dei presupposti di legge, senza avvio del procedimento né motivazione; </w:t>
      </w:r>
      <w:r w:rsidRPr="005D4A03">
        <w:rPr>
          <w:rFonts w:eastAsia="Times New Roman" w:cstheme="minorHAnsi"/>
          <w:color w:val="3D3B39"/>
          <w:sz w:val="20"/>
          <w:szCs w:val="20"/>
          <w:lang w:eastAsia="it-IT"/>
        </w:rPr>
        <w:br/>
        <w:t xml:space="preserve">II. Violazione e/o falsa applicazione degli artt. 83, commi 8 e 9, 95, comma 10 e 97 comma 5 del d.lgs. n. 50 del 2016. Violazione dell’art. 14 della lettera di invito. Eccesso di potere per ingiustizia manifesta e violazione del legittimo affidamento. Si lamenta, in definitiva, l’illegittimità dell’esclusione senza previa attivazione del soccorso istruttorio, posto che il costo manodopera, anche se non indicato in sede di offerta economica, sarebbe stato comunque estrapolabile dall’importo complessivo dell’offerta presentata. </w:t>
      </w:r>
      <w:r w:rsidRPr="005D4A03">
        <w:rPr>
          <w:rFonts w:eastAsia="Times New Roman" w:cstheme="minorHAnsi"/>
          <w:color w:val="3D3B39"/>
          <w:sz w:val="20"/>
          <w:szCs w:val="20"/>
          <w:lang w:eastAsia="it-IT"/>
        </w:rPr>
        <w:br/>
        <w:t xml:space="preserve">III. Incompetenza relativa del RUP allo svolgimento delle operazioni di gara; violazione e/o falsa applicazione dell’art. 31 cod. appalti e delle linee guida ANAC n. 3. </w:t>
      </w:r>
      <w:r w:rsidRPr="005D4A03">
        <w:rPr>
          <w:rFonts w:eastAsia="Times New Roman" w:cstheme="minorHAnsi"/>
          <w:color w:val="3D3B39"/>
          <w:sz w:val="20"/>
          <w:szCs w:val="20"/>
          <w:lang w:eastAsia="it-IT"/>
        </w:rPr>
        <w:br/>
        <w:t xml:space="preserve">2. Si è costituito il Comune di Bevagna, offrendo una diversa ricostruzione dei fatti e contestando puntualmente nel merito le censure mosse e concludendo per il rigetto delle domande di parte ricorrente. In particolare, la difesa comunale evidenzia che gli atti di gara annullati assumono mero rilievo </w:t>
      </w:r>
      <w:proofErr w:type="spellStart"/>
      <w:r w:rsidRPr="005D4A03">
        <w:rPr>
          <w:rFonts w:eastAsia="Times New Roman" w:cstheme="minorHAnsi"/>
          <w:color w:val="3D3B39"/>
          <w:sz w:val="20"/>
          <w:szCs w:val="20"/>
          <w:lang w:eastAsia="it-IT"/>
        </w:rPr>
        <w:t>endoprocedimentale</w:t>
      </w:r>
      <w:proofErr w:type="spellEnd"/>
      <w:r w:rsidRPr="005D4A03">
        <w:rPr>
          <w:rFonts w:eastAsia="Times New Roman" w:cstheme="minorHAnsi"/>
          <w:color w:val="3D3B39"/>
          <w:sz w:val="20"/>
          <w:szCs w:val="20"/>
          <w:lang w:eastAsia="it-IT"/>
        </w:rPr>
        <w:t>, costituendo singoli momenti a valenza istruttoria necessaria alla formazione dell’atto conclusivo della procedura di gara, di per sé inidonei ad generare un legittimo affidamento del partecipante e ad assumere carattere di definitività; non potrebbe al riguardo parlarsi di revoca. Inoltre, l’esclusione dalla gara della ricorrente sarebbe giustificata dalla mancata indicazione del costo della manodopera nell’offerta economica, ex art. 95, comma 10, codice dei contratti, trasposto dagli Uffici del Comune di Bevagna nella lettera di invito all’art. 14 [</w:t>
      </w:r>
      <w:proofErr w:type="spellStart"/>
      <w:r w:rsidRPr="005D4A03">
        <w:rPr>
          <w:rFonts w:eastAsia="Times New Roman" w:cstheme="minorHAnsi"/>
          <w:i/>
          <w:iCs/>
          <w:color w:val="3D3B39"/>
          <w:sz w:val="20"/>
          <w:szCs w:val="20"/>
          <w:lang w:eastAsia="it-IT"/>
        </w:rPr>
        <w:t>rectius</w:t>
      </w:r>
      <w:proofErr w:type="spellEnd"/>
      <w:r w:rsidRPr="005D4A03">
        <w:rPr>
          <w:rFonts w:eastAsia="Times New Roman" w:cstheme="minorHAnsi"/>
          <w:color w:val="3D3B39"/>
          <w:sz w:val="20"/>
          <w:szCs w:val="20"/>
          <w:lang w:eastAsia="it-IT"/>
        </w:rPr>
        <w:t>, nel richiamo in quella sede fatto alla necessaria completezza delle informazioni richieste nei moduli allegati (segnatamente, nel modulo n. 2)]; circostanza relativamente alla quale è da escludere la possibilità di soccorso istruttorio. In merito alle censure relative all’incompetenza del RUP, la difesa comunale evidenzia che la Commissione di gara nominata inizialmente non era necessaria per il tipo di procedura indetta, nella quale il criterio di aggiudicazione era quello del prezzo più basso. L’attività amministrativa posta in essere dalla commissione, si sarebbe limitata all’istruttoria formale delle domande pervenute ed alla estrazione del criterio di determinazione delle anomalie, essendo stati annullati in autotutela tutti i successivi atti di valutazione delle offerte. La successiva sostituzione del R.U.P., ad opera della D.G.C. 63/2018, avrebbe di fatto superato la nomina della commissione di gara, senza pregiudizio per la legittimità degli atti fino ad allora formatisi (e non annullati in autotutela medio tempore), né per l’operato successivo di tale organo, in considerazione del disposto di cui all’art. 31, comma 3, d.lgs. n. 50 del 2016, con cui gli si assegnano tutti i compiti relativi, </w:t>
      </w:r>
      <w:r w:rsidRPr="005D4A03">
        <w:rPr>
          <w:rFonts w:eastAsia="Times New Roman" w:cstheme="minorHAnsi"/>
          <w:i/>
          <w:iCs/>
          <w:color w:val="3D3B39"/>
          <w:sz w:val="20"/>
          <w:szCs w:val="20"/>
          <w:lang w:eastAsia="it-IT"/>
        </w:rPr>
        <w:t xml:space="preserve">inter </w:t>
      </w:r>
      <w:proofErr w:type="spellStart"/>
      <w:r w:rsidRPr="005D4A03">
        <w:rPr>
          <w:rFonts w:eastAsia="Times New Roman" w:cstheme="minorHAnsi"/>
          <w:i/>
          <w:iCs/>
          <w:color w:val="3D3B39"/>
          <w:sz w:val="20"/>
          <w:szCs w:val="20"/>
          <w:lang w:eastAsia="it-IT"/>
        </w:rPr>
        <w:t>alios</w:t>
      </w:r>
      <w:proofErr w:type="spellEnd"/>
      <w:r w:rsidRPr="005D4A03">
        <w:rPr>
          <w:rFonts w:eastAsia="Times New Roman" w:cstheme="minorHAnsi"/>
          <w:color w:val="3D3B39"/>
          <w:sz w:val="20"/>
          <w:szCs w:val="20"/>
          <w:lang w:eastAsia="it-IT"/>
        </w:rPr>
        <w:t xml:space="preserve">, all’affidamento dei lavori oggetto di gara. Infine, sostenendo l’infondatezza della domanda risarcitoria, la difesa comunale evidenzia che gli atti amministrativi annullati in itinere sono qualificabili come meramente istruttori ed </w:t>
      </w:r>
      <w:proofErr w:type="spellStart"/>
      <w:r w:rsidRPr="005D4A03">
        <w:rPr>
          <w:rFonts w:eastAsia="Times New Roman" w:cstheme="minorHAnsi"/>
          <w:color w:val="3D3B39"/>
          <w:sz w:val="20"/>
          <w:szCs w:val="20"/>
          <w:lang w:eastAsia="it-IT"/>
        </w:rPr>
        <w:t>endoprocedimentali</w:t>
      </w:r>
      <w:proofErr w:type="spellEnd"/>
      <w:r w:rsidRPr="005D4A03">
        <w:rPr>
          <w:rFonts w:eastAsia="Times New Roman" w:cstheme="minorHAnsi"/>
          <w:color w:val="3D3B39"/>
          <w:sz w:val="20"/>
          <w:szCs w:val="20"/>
          <w:lang w:eastAsia="it-IT"/>
        </w:rPr>
        <w:t>, inidonei di per sé a creare alcuna situazione giuridica soggettiva tutelabile in giudizio sussumibile nella categoria del legittimo affidamento, ed a fortiori inidonei a fondare alcuna pretesa risarcitoria per la presunta “revoca” dei medesimi. Il ricorrente non ha provato e quantificato il danno risarcibile, sia sotto il profilo del mancato guadagno, che del danno c.d. “</w:t>
      </w:r>
      <w:proofErr w:type="spellStart"/>
      <w:r w:rsidRPr="005D4A03">
        <w:rPr>
          <w:rFonts w:eastAsia="Times New Roman" w:cstheme="minorHAnsi"/>
          <w:color w:val="3D3B39"/>
          <w:sz w:val="20"/>
          <w:szCs w:val="20"/>
          <w:lang w:eastAsia="it-IT"/>
        </w:rPr>
        <w:t>reputazionale</w:t>
      </w:r>
      <w:proofErr w:type="spellEnd"/>
      <w:r w:rsidRPr="005D4A03">
        <w:rPr>
          <w:rFonts w:eastAsia="Times New Roman" w:cstheme="minorHAnsi"/>
          <w:color w:val="3D3B39"/>
          <w:sz w:val="20"/>
          <w:szCs w:val="20"/>
          <w:lang w:eastAsia="it-IT"/>
        </w:rPr>
        <w:t xml:space="preserve">”, non risultando in atti nessun elemento che dimostri la messa a disposizione della potenziale commessa di mezzi e risorse, da parte della ricorrente, soggetto, peraltro, mandatario di un costituendo A.T.I. </w:t>
      </w:r>
      <w:r w:rsidRPr="005D4A03">
        <w:rPr>
          <w:rFonts w:eastAsia="Times New Roman" w:cstheme="minorHAnsi"/>
          <w:color w:val="3D3B39"/>
          <w:sz w:val="20"/>
          <w:szCs w:val="20"/>
          <w:lang w:eastAsia="it-IT"/>
        </w:rPr>
        <w:br/>
        <w:t xml:space="preserve">3. Non si sono costituiti l’Unione di Comuni “Terre dell’olio e del sagrantino” – Provincia di Perugia né la </w:t>
      </w:r>
      <w:proofErr w:type="spellStart"/>
      <w:r w:rsidRPr="005D4A03">
        <w:rPr>
          <w:rFonts w:eastAsia="Times New Roman" w:cstheme="minorHAnsi"/>
          <w:color w:val="3D3B39"/>
          <w:sz w:val="20"/>
          <w:szCs w:val="20"/>
          <w:lang w:eastAsia="it-IT"/>
        </w:rPr>
        <w:t>controinteressata</w:t>
      </w:r>
      <w:proofErr w:type="spellEnd"/>
      <w:r w:rsidRPr="005D4A03">
        <w:rPr>
          <w:rFonts w:eastAsia="Times New Roman" w:cstheme="minorHAnsi"/>
          <w:color w:val="3D3B39"/>
          <w:sz w:val="20"/>
          <w:szCs w:val="20"/>
          <w:lang w:eastAsia="it-IT"/>
        </w:rPr>
        <w:t xml:space="preserve"> GSM </w:t>
      </w:r>
      <w:proofErr w:type="spellStart"/>
      <w:r w:rsidRPr="005D4A03">
        <w:rPr>
          <w:rFonts w:eastAsia="Times New Roman" w:cstheme="minorHAnsi"/>
          <w:color w:val="3D3B39"/>
          <w:sz w:val="20"/>
          <w:szCs w:val="20"/>
          <w:lang w:eastAsia="it-IT"/>
        </w:rPr>
        <w:t>soc</w:t>
      </w:r>
      <w:proofErr w:type="spellEnd"/>
      <w:r w:rsidRPr="005D4A03">
        <w:rPr>
          <w:rFonts w:eastAsia="Times New Roman" w:cstheme="minorHAnsi"/>
          <w:color w:val="3D3B39"/>
          <w:sz w:val="20"/>
          <w:szCs w:val="20"/>
          <w:lang w:eastAsia="it-IT"/>
        </w:rPr>
        <w:t xml:space="preserve">. coop. </w:t>
      </w:r>
      <w:r w:rsidRPr="005D4A03">
        <w:rPr>
          <w:rFonts w:eastAsia="Times New Roman" w:cstheme="minorHAnsi"/>
          <w:color w:val="3D3B39"/>
          <w:sz w:val="20"/>
          <w:szCs w:val="20"/>
          <w:lang w:eastAsia="it-IT"/>
        </w:rPr>
        <w:br/>
        <w:t>4. Con ordinanza n. 93 del 13 giugno 2018 è stata rigettata l’istanza cautelare promossa con il ricorso introduttivo «considerato, ad una sommaria delibazione, propria della presente fase di giudizio, che la domanda cautelare non appare suscettibile di positiva definizione, per quel che riguarda, in particolare, i profili afferenti il </w:t>
      </w:r>
      <w:proofErr w:type="spellStart"/>
      <w:r w:rsidRPr="005D4A03">
        <w:rPr>
          <w:rFonts w:eastAsia="Times New Roman" w:cstheme="minorHAnsi"/>
          <w:i/>
          <w:iCs/>
          <w:color w:val="3D3B39"/>
          <w:sz w:val="20"/>
          <w:szCs w:val="20"/>
          <w:lang w:eastAsia="it-IT"/>
        </w:rPr>
        <w:t>fumus</w:t>
      </w:r>
      <w:proofErr w:type="spellEnd"/>
      <w:r w:rsidRPr="005D4A03">
        <w:rPr>
          <w:rFonts w:eastAsia="Times New Roman" w:cstheme="minorHAnsi"/>
          <w:i/>
          <w:iCs/>
          <w:color w:val="3D3B39"/>
          <w:sz w:val="20"/>
          <w:szCs w:val="20"/>
          <w:lang w:eastAsia="it-IT"/>
        </w:rPr>
        <w:t xml:space="preserve"> boni </w:t>
      </w:r>
      <w:proofErr w:type="spellStart"/>
      <w:r w:rsidRPr="005D4A03">
        <w:rPr>
          <w:rFonts w:eastAsia="Times New Roman" w:cstheme="minorHAnsi"/>
          <w:i/>
          <w:iCs/>
          <w:color w:val="3D3B39"/>
          <w:sz w:val="20"/>
          <w:szCs w:val="20"/>
          <w:lang w:eastAsia="it-IT"/>
        </w:rPr>
        <w:t>iuris</w:t>
      </w:r>
      <w:proofErr w:type="spellEnd"/>
      <w:r w:rsidRPr="005D4A03">
        <w:rPr>
          <w:rFonts w:eastAsia="Times New Roman" w:cstheme="minorHAnsi"/>
          <w:color w:val="3D3B39"/>
          <w:sz w:val="20"/>
          <w:szCs w:val="20"/>
          <w:lang w:eastAsia="it-IT"/>
        </w:rPr>
        <w:t xml:space="preserve">, non avendo il ricorrente indicato separatamente nell’offerta economica il costo della manodopera, come, peraltro, richiesto per espressa previsione della legge di gara»; contestualmente, la trattazione del merito è stata fissata per l’udienza del 24 luglio 2018. </w:t>
      </w:r>
      <w:r w:rsidRPr="005D4A03">
        <w:rPr>
          <w:rFonts w:eastAsia="Times New Roman" w:cstheme="minorHAnsi"/>
          <w:color w:val="3D3B39"/>
          <w:sz w:val="20"/>
          <w:szCs w:val="20"/>
          <w:lang w:eastAsia="it-IT"/>
        </w:rPr>
        <w:br/>
        <w:t xml:space="preserve">5. Con determinazione del responsabile dell’Area tecnica n. 121/423 del 19 giugno 2018 è stata approvata l’aggiudicazione definitiva dei lavori di </w:t>
      </w:r>
      <w:proofErr w:type="spellStart"/>
      <w:r w:rsidRPr="005D4A03">
        <w:rPr>
          <w:rFonts w:eastAsia="Times New Roman" w:cstheme="minorHAnsi"/>
          <w:color w:val="3D3B39"/>
          <w:sz w:val="20"/>
          <w:szCs w:val="20"/>
          <w:lang w:eastAsia="it-IT"/>
        </w:rPr>
        <w:t>efficientamento</w:t>
      </w:r>
      <w:proofErr w:type="spellEnd"/>
      <w:r w:rsidRPr="005D4A03">
        <w:rPr>
          <w:rFonts w:eastAsia="Times New Roman" w:cstheme="minorHAnsi"/>
          <w:color w:val="3D3B39"/>
          <w:sz w:val="20"/>
          <w:szCs w:val="20"/>
          <w:lang w:eastAsia="it-IT"/>
        </w:rPr>
        <w:t xml:space="preserve"> energetico della scuola primaria “Ten. Ugo Martini” di Bevagna alla ditta SA.MA. Sas di </w:t>
      </w:r>
      <w:proofErr w:type="spellStart"/>
      <w:r w:rsidRPr="005D4A03">
        <w:rPr>
          <w:rFonts w:eastAsia="Times New Roman" w:cstheme="minorHAnsi"/>
          <w:color w:val="3D3B39"/>
          <w:sz w:val="20"/>
          <w:szCs w:val="20"/>
          <w:lang w:eastAsia="it-IT"/>
        </w:rPr>
        <w:t>Salvischiani</w:t>
      </w:r>
      <w:proofErr w:type="spellEnd"/>
      <w:r w:rsidRPr="005D4A03">
        <w:rPr>
          <w:rFonts w:eastAsia="Times New Roman" w:cstheme="minorHAnsi"/>
          <w:color w:val="3D3B39"/>
          <w:sz w:val="20"/>
          <w:szCs w:val="20"/>
          <w:lang w:eastAsia="it-IT"/>
        </w:rPr>
        <w:t xml:space="preserve"> P.&amp;C.; l’atto è stato comunicato ai ricorrente in data 19 giugno 2018. Tale atto è stato impugnato dalla ricorrente con ricorso per motivi aggiunti, depositato in data 2 luglio 2018, nel quale, richiamate integralmente le censure mosse con il ricorso principale, se ne chiede l’annullamento per illegittimità derivata dall’illegittimità degli atti presupposti già oggetto di impugnazione. Con il medesimo atto parte ricorrente ha avanzato istanza di esenzione dal versamento del contributo unificato in quanto, nel caso di specie, i motivi aggiunti proposti dalla ricorrente non introdurrebbero nuovi vizi di legittimità, né amplierebbero l’oggetto del processo oltre i confini già segnati dal ricorso introduttivo del giudizio. </w:t>
      </w:r>
      <w:r w:rsidRPr="005D4A03">
        <w:rPr>
          <w:rFonts w:eastAsia="Times New Roman" w:cstheme="minorHAnsi"/>
          <w:color w:val="3D3B39"/>
          <w:sz w:val="20"/>
          <w:szCs w:val="20"/>
          <w:lang w:eastAsia="it-IT"/>
        </w:rPr>
        <w:br/>
        <w:t xml:space="preserve">6. Non si è costituita la </w:t>
      </w:r>
      <w:proofErr w:type="spellStart"/>
      <w:r w:rsidRPr="005D4A03">
        <w:rPr>
          <w:rFonts w:eastAsia="Times New Roman" w:cstheme="minorHAnsi"/>
          <w:color w:val="3D3B39"/>
          <w:sz w:val="20"/>
          <w:szCs w:val="20"/>
          <w:lang w:eastAsia="it-IT"/>
        </w:rPr>
        <w:t>controinteressata</w:t>
      </w:r>
      <w:proofErr w:type="spellEnd"/>
      <w:r w:rsidRPr="005D4A03">
        <w:rPr>
          <w:rFonts w:eastAsia="Times New Roman" w:cstheme="minorHAnsi"/>
          <w:color w:val="3D3B39"/>
          <w:sz w:val="20"/>
          <w:szCs w:val="20"/>
          <w:lang w:eastAsia="it-IT"/>
        </w:rPr>
        <w:t xml:space="preserve"> SA.MA. s.a.s. di </w:t>
      </w:r>
      <w:proofErr w:type="spellStart"/>
      <w:r w:rsidRPr="005D4A03">
        <w:rPr>
          <w:rFonts w:eastAsia="Times New Roman" w:cstheme="minorHAnsi"/>
          <w:color w:val="3D3B39"/>
          <w:sz w:val="20"/>
          <w:szCs w:val="20"/>
          <w:lang w:eastAsia="it-IT"/>
        </w:rPr>
        <w:t>Salvischiani</w:t>
      </w:r>
      <w:proofErr w:type="spellEnd"/>
      <w:r w:rsidRPr="005D4A03">
        <w:rPr>
          <w:rFonts w:eastAsia="Times New Roman" w:cstheme="minorHAnsi"/>
          <w:color w:val="3D3B39"/>
          <w:sz w:val="20"/>
          <w:szCs w:val="20"/>
          <w:lang w:eastAsia="it-IT"/>
        </w:rPr>
        <w:t xml:space="preserve"> P.&amp;C., aggiudicataria dell’appalto. </w:t>
      </w:r>
      <w:r w:rsidRPr="005D4A03">
        <w:rPr>
          <w:rFonts w:eastAsia="Times New Roman" w:cstheme="minorHAnsi"/>
          <w:color w:val="3D3B39"/>
          <w:sz w:val="20"/>
          <w:szCs w:val="20"/>
          <w:lang w:eastAsia="it-IT"/>
        </w:rPr>
        <w:br/>
        <w:t xml:space="preserve">7. La difesa comunale con successive memorie ha precisato le proprie difese ed insistito per la reiezione di tutte le domande attorie. </w:t>
      </w:r>
      <w:r w:rsidRPr="005D4A03">
        <w:rPr>
          <w:rFonts w:eastAsia="Times New Roman" w:cstheme="minorHAnsi"/>
          <w:color w:val="3D3B39"/>
          <w:sz w:val="20"/>
          <w:szCs w:val="20"/>
          <w:lang w:eastAsia="it-IT"/>
        </w:rPr>
        <w:br/>
        <w:t xml:space="preserve">8. All’udienza pubblica del 24 luglio 2018, uditi per le parti i difensori, la causa è stata trattenuta in decisione. </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 xml:space="preserve">DIRITTO </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lastRenderedPageBreak/>
        <w:t xml:space="preserve">1. È materia del contendere la legittimità degli atti inerenti la procedura negoziata, senza previa pubblicazione di un bando di gara, per l’intervento di </w:t>
      </w:r>
      <w:proofErr w:type="spellStart"/>
      <w:r w:rsidRPr="005D4A03">
        <w:rPr>
          <w:rFonts w:eastAsia="Times New Roman" w:cstheme="minorHAnsi"/>
          <w:color w:val="3D3B39"/>
          <w:sz w:val="20"/>
          <w:szCs w:val="20"/>
          <w:lang w:eastAsia="it-IT"/>
        </w:rPr>
        <w:t>efficientamento</w:t>
      </w:r>
      <w:proofErr w:type="spellEnd"/>
      <w:r w:rsidRPr="005D4A03">
        <w:rPr>
          <w:rFonts w:eastAsia="Times New Roman" w:cstheme="minorHAnsi"/>
          <w:color w:val="3D3B39"/>
          <w:sz w:val="20"/>
          <w:szCs w:val="20"/>
          <w:lang w:eastAsia="it-IT"/>
        </w:rPr>
        <w:t xml:space="preserve"> energetico della scuola primaria “Ten. Ugo Marini” nel Comune di Bevagna. </w:t>
      </w:r>
      <w:r w:rsidRPr="005D4A03">
        <w:rPr>
          <w:rFonts w:eastAsia="Times New Roman" w:cstheme="minorHAnsi"/>
          <w:color w:val="3D3B39"/>
          <w:sz w:val="20"/>
          <w:szCs w:val="20"/>
          <w:lang w:eastAsia="it-IT"/>
        </w:rPr>
        <w:br/>
        <w:t>2. Ritiene in via preliminare il Collegio di dover disattendere la richiesta di esenzione dal versamento del contributo unificato per l’atto di motivi aggiunti. L’art. 13, comma 6 </w:t>
      </w:r>
      <w:r w:rsidRPr="005D4A03">
        <w:rPr>
          <w:rFonts w:eastAsia="Times New Roman" w:cstheme="minorHAnsi"/>
          <w:i/>
          <w:iCs/>
          <w:color w:val="3D3B39"/>
          <w:sz w:val="20"/>
          <w:szCs w:val="20"/>
          <w:lang w:eastAsia="it-IT"/>
        </w:rPr>
        <w:t>bis</w:t>
      </w:r>
      <w:r w:rsidRPr="005D4A03">
        <w:rPr>
          <w:rFonts w:eastAsia="Times New Roman" w:cstheme="minorHAnsi"/>
          <w:color w:val="3D3B39"/>
          <w:sz w:val="20"/>
          <w:szCs w:val="20"/>
          <w:lang w:eastAsia="it-IT"/>
        </w:rPr>
        <w:t xml:space="preserve">, del </w:t>
      </w:r>
      <w:proofErr w:type="spellStart"/>
      <w:r w:rsidRPr="005D4A03">
        <w:rPr>
          <w:rFonts w:eastAsia="Times New Roman" w:cstheme="minorHAnsi"/>
          <w:color w:val="3D3B39"/>
          <w:sz w:val="20"/>
          <w:szCs w:val="20"/>
          <w:lang w:eastAsia="it-IT"/>
        </w:rPr>
        <w:t>d.P.R.</w:t>
      </w:r>
      <w:proofErr w:type="spellEnd"/>
      <w:r w:rsidRPr="005D4A03">
        <w:rPr>
          <w:rFonts w:eastAsia="Times New Roman" w:cstheme="minorHAnsi"/>
          <w:color w:val="3D3B39"/>
          <w:sz w:val="20"/>
          <w:szCs w:val="20"/>
          <w:lang w:eastAsia="it-IT"/>
        </w:rPr>
        <w:t xml:space="preserve"> n. 115 del 2002 Testo unico delle disposizioni legislative e regolamentari in materia di spese di giustizia, nel prevedere gli importi del contributo unificato per i ricorsi proposti davanti ai Tribunali amministrativi regionali e al Consiglio di Stato espressamente richiama “i ricorsi di cui all'articolo 119, comma 1, lettere a)” del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xml:space="preserve">., specificando che “[a]i fini del presente comma, per ricorsi si intendono quello principale, quello incidentale e i motivi aggiunti che introducono domande nuove”. </w:t>
      </w:r>
      <w:r w:rsidRPr="005D4A03">
        <w:rPr>
          <w:rFonts w:eastAsia="Times New Roman" w:cstheme="minorHAnsi"/>
          <w:color w:val="3D3B39"/>
          <w:sz w:val="20"/>
          <w:szCs w:val="20"/>
          <w:lang w:eastAsia="it-IT"/>
        </w:rPr>
        <w:br/>
        <w:t>La Circolare del Segretario generale della Giustizia amministrativa del 18 ottobre 2011, nel chiarire qual è il presupposto impositivo del contributo unificato, ha evidenziato che mentre l'art. 13, comma 6 </w:t>
      </w:r>
      <w:r w:rsidRPr="005D4A03">
        <w:rPr>
          <w:rFonts w:eastAsia="Times New Roman" w:cstheme="minorHAnsi"/>
          <w:i/>
          <w:iCs/>
          <w:color w:val="3D3B39"/>
          <w:sz w:val="20"/>
          <w:szCs w:val="20"/>
          <w:lang w:eastAsia="it-IT"/>
        </w:rPr>
        <w:t>bis</w:t>
      </w:r>
      <w:r w:rsidRPr="005D4A03">
        <w:rPr>
          <w:rFonts w:eastAsia="Times New Roman" w:cstheme="minorHAnsi"/>
          <w:color w:val="3D3B39"/>
          <w:sz w:val="20"/>
          <w:szCs w:val="20"/>
          <w:lang w:eastAsia="it-IT"/>
        </w:rPr>
        <w:t xml:space="preserve">, del </w:t>
      </w:r>
      <w:proofErr w:type="spellStart"/>
      <w:r w:rsidRPr="005D4A03">
        <w:rPr>
          <w:rFonts w:eastAsia="Times New Roman" w:cstheme="minorHAnsi"/>
          <w:color w:val="3D3B39"/>
          <w:sz w:val="20"/>
          <w:szCs w:val="20"/>
          <w:lang w:eastAsia="it-IT"/>
        </w:rPr>
        <w:t>d.P.R.</w:t>
      </w:r>
      <w:proofErr w:type="spellEnd"/>
      <w:r w:rsidRPr="005D4A03">
        <w:rPr>
          <w:rFonts w:eastAsia="Times New Roman" w:cstheme="minorHAnsi"/>
          <w:color w:val="3D3B39"/>
          <w:sz w:val="20"/>
          <w:szCs w:val="20"/>
          <w:lang w:eastAsia="it-IT"/>
        </w:rPr>
        <w:t xml:space="preserve"> n. 115 del 2002, nella sua prima versione, identificava l'atto introduttivo con il solo "ricorso", i successivi interventi legislativi hanno fornito una nuova nozione di "ricorso" ampliandone la portata fino a comprendere in esso il ricorso incidentale ed i motivi aggiunti che introducono domande nuove. La stessa Circolare al punto B.2, relativo ai motivi aggiunti, chiarisce che l’obbligo contributivo sorge solo nel caso di “atti processuali (…) che comportino un sostanziale ampliamento del “</w:t>
      </w:r>
      <w:proofErr w:type="spellStart"/>
      <w:r w:rsidRPr="005D4A03">
        <w:rPr>
          <w:rFonts w:eastAsia="Times New Roman" w:cstheme="minorHAnsi"/>
          <w:i/>
          <w:iCs/>
          <w:color w:val="3D3B39"/>
          <w:sz w:val="20"/>
          <w:szCs w:val="20"/>
          <w:lang w:eastAsia="it-IT"/>
        </w:rPr>
        <w:t>thema</w:t>
      </w:r>
      <w:proofErr w:type="spellEnd"/>
      <w:r w:rsidRPr="005D4A03">
        <w:rPr>
          <w:rFonts w:eastAsia="Times New Roman" w:cstheme="minorHAnsi"/>
          <w:i/>
          <w:iCs/>
          <w:color w:val="3D3B39"/>
          <w:sz w:val="20"/>
          <w:szCs w:val="20"/>
          <w:lang w:eastAsia="it-IT"/>
        </w:rPr>
        <w:t xml:space="preserve"> </w:t>
      </w:r>
      <w:proofErr w:type="spellStart"/>
      <w:r w:rsidRPr="005D4A03">
        <w:rPr>
          <w:rFonts w:eastAsia="Times New Roman" w:cstheme="minorHAnsi"/>
          <w:i/>
          <w:iCs/>
          <w:color w:val="3D3B39"/>
          <w:sz w:val="20"/>
          <w:szCs w:val="20"/>
          <w:lang w:eastAsia="it-IT"/>
        </w:rPr>
        <w:t>decidendum</w:t>
      </w:r>
      <w:proofErr w:type="spellEnd"/>
      <w:r w:rsidRPr="005D4A03">
        <w:rPr>
          <w:rFonts w:eastAsia="Times New Roman" w:cstheme="minorHAnsi"/>
          <w:color w:val="3D3B39"/>
          <w:sz w:val="20"/>
          <w:szCs w:val="20"/>
          <w:lang w:eastAsia="it-IT"/>
        </w:rPr>
        <w:t xml:space="preserve">”, nel duplice senso: - di estendere l’impugnazione a provvedimenti diversi da quelli già portati all’attenzione del giudice col ricorso introduttivo …; - di introdurre nuove azioni di accertamento o di condanna”. Al successivo punto B.3 si specifica che “l'individuazione da parte dell'ufficio giudiziario del presupposto d'imposta, in relazione al deposito di "motivi aggiunti", va effettuata tenendo conto dei seguenti requisiti, che devono sussistere congiuntamente: a) impugnazione di un atto (di qualsivoglia natura e portata sostanziale) "nuovo", vale a dire non gravato coi il ricorso introduttivo del giudizio, ovvero richiesta di accertamento di un rapporto, ovvero azione di condanna (…) formulate per la prima volta in giudizio; b) notifica dei "motivi aggiunti" all'amministrazione emanante ed ai controinteressati”. </w:t>
      </w:r>
      <w:r w:rsidRPr="005D4A03">
        <w:rPr>
          <w:rFonts w:eastAsia="Times New Roman" w:cstheme="minorHAnsi"/>
          <w:color w:val="3D3B39"/>
          <w:sz w:val="20"/>
          <w:szCs w:val="20"/>
          <w:lang w:eastAsia="it-IT"/>
        </w:rPr>
        <w:br/>
        <w:t>Ciò posto, ritiene il Collegio che nel caso in esame non ricorrano i presupposti per il richiesto esonero, in quanto l’impugnazione di atti nuovi - aggiudicazione definitiva - e la proposizione di una nuova domanda - domanda di subentro introdotta per la prima volta con i motivi aggiunti - comportano l’ampliamento del </w:t>
      </w:r>
      <w:proofErr w:type="spellStart"/>
      <w:r w:rsidRPr="005D4A03">
        <w:rPr>
          <w:rFonts w:eastAsia="Times New Roman" w:cstheme="minorHAnsi"/>
          <w:i/>
          <w:iCs/>
          <w:color w:val="3D3B39"/>
          <w:sz w:val="20"/>
          <w:szCs w:val="20"/>
          <w:lang w:eastAsia="it-IT"/>
        </w:rPr>
        <w:t>thema</w:t>
      </w:r>
      <w:proofErr w:type="spellEnd"/>
      <w:r w:rsidRPr="005D4A03">
        <w:rPr>
          <w:rFonts w:eastAsia="Times New Roman" w:cstheme="minorHAnsi"/>
          <w:i/>
          <w:iCs/>
          <w:color w:val="3D3B39"/>
          <w:sz w:val="20"/>
          <w:szCs w:val="20"/>
          <w:lang w:eastAsia="it-IT"/>
        </w:rPr>
        <w:t xml:space="preserve"> </w:t>
      </w:r>
      <w:proofErr w:type="spellStart"/>
      <w:r w:rsidRPr="005D4A03">
        <w:rPr>
          <w:rFonts w:eastAsia="Times New Roman" w:cstheme="minorHAnsi"/>
          <w:i/>
          <w:iCs/>
          <w:color w:val="3D3B39"/>
          <w:sz w:val="20"/>
          <w:szCs w:val="20"/>
          <w:lang w:eastAsia="it-IT"/>
        </w:rPr>
        <w:t>decidendum</w:t>
      </w:r>
      <w:proofErr w:type="spellEnd"/>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t xml:space="preserve">3. Per quanto attiene al merito del ricorso, la ricorrente chiede l’annullamento dei predetti provvedimenti e, in conseguenza di ciò, che sia dichiarato l’obbligo dell’amministrazioni resistenti di procedere alla verifica dell’anomalia dell’offerta del ATI SO.CO.EM. s.r.l./SIMAIT SERVICE s.r.l. nonché, qualora nelle more della decisione di merito venga stipulato il contratto d’appalto, di dichiarare l’inefficacia di quest’ultimo, di dichiarare in subordine il diritto della ricorrente al subentro nel predetto contratto nonché condannare l’Amministrazione resistente al risarcimento dei danni. Parte ricorrente, pertanto, non mira alla riedizione della procedura né chiede l’aggiudicazione; domanda, bensì, di essere riammessa - previo soccorso istruttorio - e che la procedura prosegua con l’esame delle controdeduzioni sull’anomalia dell’offerta. Al riguardo il Collegio osserva, tuttavia, che il carattere escludente della mancata indicazione nell’offerta economica del costo della mano d’opera (integrato solo con le controdeduzioni in sede sull’anomalia dell’offerta), essendo elemento dell’offerta economica non suscettibile di soccorso istruttorio, come già affermato da questo Tribunale amministrativo regionale, rende sostanzialmente inutile tale riammissione. </w:t>
      </w:r>
      <w:r w:rsidRPr="005D4A03">
        <w:rPr>
          <w:rFonts w:eastAsia="Times New Roman" w:cstheme="minorHAnsi"/>
          <w:color w:val="3D3B39"/>
          <w:sz w:val="20"/>
          <w:szCs w:val="20"/>
          <w:lang w:eastAsia="it-IT"/>
        </w:rPr>
        <w:br/>
        <w:t xml:space="preserve">Infatti, l’art. 95, comma 10, del d.lgs. n. 50 del 2016, innovando rispetto al regime di cui al d.lgs. n. 163 del 2006, ha imposto l’obbligo per tutti gli operatori economici di indicare in sede di offerta economica i propri costi della manodopera e gli oneri aziendali concernenti l’adempimento delle disposizioni in materia di salute e sicurezza sui luoghi di lavoro (ad esclusione delle forniture senza posa in opera, dei servizi di natura intellettuale e degli affidamenti ai sensi dell'articolo 36, comma 2, lettera a) del d.lgs. n. 50 del 2016). </w:t>
      </w:r>
      <w:r w:rsidRPr="005D4A03">
        <w:rPr>
          <w:rFonts w:eastAsia="Times New Roman" w:cstheme="minorHAnsi"/>
          <w:color w:val="3D3B39"/>
          <w:sz w:val="20"/>
          <w:szCs w:val="20"/>
          <w:lang w:eastAsia="it-IT"/>
        </w:rPr>
        <w:br/>
        <w:t xml:space="preserve">Sebbene la questione non sia pacifica in giurisprudenza, un orientamento interpretativo, al quale ha aderito anche questo Tribunale, ritiene che il suddetto obbligo sussista anche in ipotesi di silenzio del bando, da ritenersi sul punto </w:t>
      </w:r>
      <w:proofErr w:type="spellStart"/>
      <w:r w:rsidRPr="005D4A03">
        <w:rPr>
          <w:rFonts w:eastAsia="Times New Roman" w:cstheme="minorHAnsi"/>
          <w:color w:val="3D3B39"/>
          <w:sz w:val="20"/>
          <w:szCs w:val="20"/>
          <w:lang w:eastAsia="it-IT"/>
        </w:rPr>
        <w:t>eterointegrato</w:t>
      </w:r>
      <w:proofErr w:type="spellEnd"/>
      <w:r w:rsidRPr="005D4A03">
        <w:rPr>
          <w:rFonts w:eastAsia="Times New Roman" w:cstheme="minorHAnsi"/>
          <w:color w:val="3D3B39"/>
          <w:sz w:val="20"/>
          <w:szCs w:val="20"/>
          <w:lang w:eastAsia="it-IT"/>
        </w:rPr>
        <w:t xml:space="preserve">, con conseguente esclusione del concorrente silente, non potendosi ricorrere nemmeno al soccorso istruttorio diversamente dal sistema previgente, trattandosi di indicazione costituente elemento essenziale dell’offerta (TAR Umbria, 22 gennaio 2018, n. 56; inoltre, ex </w:t>
      </w:r>
      <w:proofErr w:type="spellStart"/>
      <w:r w:rsidRPr="005D4A03">
        <w:rPr>
          <w:rFonts w:eastAsia="Times New Roman" w:cstheme="minorHAnsi"/>
          <w:color w:val="3D3B39"/>
          <w:sz w:val="20"/>
          <w:szCs w:val="20"/>
          <w:lang w:eastAsia="it-IT"/>
        </w:rPr>
        <w:t>multis</w:t>
      </w:r>
      <w:proofErr w:type="spellEnd"/>
      <w:r w:rsidRPr="005D4A03">
        <w:rPr>
          <w:rFonts w:eastAsia="Times New Roman" w:cstheme="minorHAnsi"/>
          <w:color w:val="3D3B39"/>
          <w:sz w:val="20"/>
          <w:szCs w:val="20"/>
          <w:lang w:eastAsia="it-IT"/>
        </w:rPr>
        <w:t xml:space="preserve">, TAR Sicilia, Catania, sez. III, 31 luglio 2017, n. 1981; TAR Umbria, 17 maggio 2017, n. 390; TAR Campania, Salerno, sez. I, 5 gennaio 2017, n. 34; TAR Molise, 2016, n. 513; TAR Calabria, Reggio Calabria, 25 febbraio 2017, n. 166; TAR Veneto, 21 febbraio 2017, n. 182; TAR Campania, Napoli, 2017, n. 2358; Consiglio di Stato </w:t>
      </w:r>
      <w:proofErr w:type="spellStart"/>
      <w:r w:rsidRPr="005D4A03">
        <w:rPr>
          <w:rFonts w:eastAsia="Times New Roman" w:cstheme="minorHAnsi"/>
          <w:color w:val="3D3B39"/>
          <w:sz w:val="20"/>
          <w:szCs w:val="20"/>
          <w:lang w:eastAsia="it-IT"/>
        </w:rPr>
        <w:t>ord</w:t>
      </w:r>
      <w:proofErr w:type="spellEnd"/>
      <w:r w:rsidRPr="005D4A03">
        <w:rPr>
          <w:rFonts w:eastAsia="Times New Roman" w:cstheme="minorHAnsi"/>
          <w:color w:val="3D3B39"/>
          <w:sz w:val="20"/>
          <w:szCs w:val="20"/>
          <w:lang w:eastAsia="it-IT"/>
        </w:rPr>
        <w:t>. 15 dicembre 2016, n. 5582). Ciò posto, osserva in linea generale il Collegio che, anche in assenza di un’esplicita previsione di richiamo alla previsione imperativa e cogente dell’art. 95, comma 10, d.lgs. n. 50 del 2016, opererebbe l'istituto della eterointegrazione del bando di gara in base alla normativa in materia, analogamente a quanto avviene nel diritto civile ai sensi degli artt. 1374 e 1339 c.c., colmandosi in via suppletiva le eventuali lacune del provvedimento adottato dalla pubblica amministrazione (</w:t>
      </w:r>
      <w:proofErr w:type="spellStart"/>
      <w:r w:rsidRPr="005D4A03">
        <w:rPr>
          <w:rFonts w:eastAsia="Times New Roman" w:cstheme="minorHAnsi"/>
          <w:color w:val="3D3B39"/>
          <w:sz w:val="20"/>
          <w:szCs w:val="20"/>
          <w:lang w:eastAsia="it-IT"/>
        </w:rPr>
        <w:t>c.f.r</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C.d.S</w:t>
      </w:r>
      <w:proofErr w:type="spellEnd"/>
      <w:r w:rsidRPr="005D4A03">
        <w:rPr>
          <w:rFonts w:eastAsia="Times New Roman" w:cstheme="minorHAnsi"/>
          <w:color w:val="3D3B39"/>
          <w:sz w:val="20"/>
          <w:szCs w:val="20"/>
          <w:lang w:eastAsia="it-IT"/>
        </w:rPr>
        <w:t>., sez. III, 24 ottobre 2017, n. 4903). Senonché, nella gara in esame, emerge direttamente la piena operatività della previsione appena richiamata del codice dei contratti pubblici, essendo l’indicazione separata del costo della manodopera espressamente richiesta dalla </w:t>
      </w:r>
      <w:proofErr w:type="spellStart"/>
      <w:r w:rsidRPr="005D4A03">
        <w:rPr>
          <w:rFonts w:eastAsia="Times New Roman" w:cstheme="minorHAnsi"/>
          <w:i/>
          <w:iCs/>
          <w:color w:val="3D3B39"/>
          <w:sz w:val="20"/>
          <w:szCs w:val="20"/>
          <w:lang w:eastAsia="it-IT"/>
        </w:rPr>
        <w:t>lex</w:t>
      </w:r>
      <w:proofErr w:type="spellEnd"/>
      <w:r w:rsidRPr="005D4A03">
        <w:rPr>
          <w:rFonts w:eastAsia="Times New Roman" w:cstheme="minorHAnsi"/>
          <w:i/>
          <w:iCs/>
          <w:color w:val="3D3B39"/>
          <w:sz w:val="20"/>
          <w:szCs w:val="20"/>
          <w:lang w:eastAsia="it-IT"/>
        </w:rPr>
        <w:t xml:space="preserve"> </w:t>
      </w:r>
      <w:proofErr w:type="spellStart"/>
      <w:r w:rsidRPr="005D4A03">
        <w:rPr>
          <w:rFonts w:eastAsia="Times New Roman" w:cstheme="minorHAnsi"/>
          <w:i/>
          <w:iCs/>
          <w:color w:val="3D3B39"/>
          <w:sz w:val="20"/>
          <w:szCs w:val="20"/>
          <w:lang w:eastAsia="it-IT"/>
        </w:rPr>
        <w:t>specialis</w:t>
      </w:r>
      <w:proofErr w:type="spellEnd"/>
      <w:r w:rsidRPr="005D4A03">
        <w:rPr>
          <w:rFonts w:eastAsia="Times New Roman" w:cstheme="minorHAnsi"/>
          <w:color w:val="3D3B39"/>
          <w:sz w:val="20"/>
          <w:szCs w:val="20"/>
          <w:lang w:eastAsia="it-IT"/>
        </w:rPr>
        <w:t xml:space="preserve">, con l’effetto di poter ravvisare l’esistenza nella legge di gara di una previsione ad hoc senz’altro idonea, nella necessaria sinergia con la chiara norma di legge, a rendere edotto il concorrente degli obblighi </w:t>
      </w:r>
      <w:r w:rsidRPr="005D4A03">
        <w:rPr>
          <w:rFonts w:eastAsia="Times New Roman" w:cstheme="minorHAnsi"/>
          <w:color w:val="3D3B39"/>
          <w:sz w:val="20"/>
          <w:szCs w:val="20"/>
          <w:lang w:eastAsia="it-IT"/>
        </w:rPr>
        <w:lastRenderedPageBreak/>
        <w:t>compilativi su di esso gravanti. Difatti, nella lettera di invito, al punto 14, relativo al contenuto dell’offerta economica, si esplicita che “A pena di esclusione, la “Busta B - Offerta economica” dovrà essere redatta secondo il Modello di Offerta Economica, allegato al presente disciplinare (</w:t>
      </w:r>
      <w:proofErr w:type="spellStart"/>
      <w:r w:rsidRPr="005D4A03">
        <w:rPr>
          <w:rFonts w:eastAsia="Times New Roman" w:cstheme="minorHAnsi"/>
          <w:color w:val="3D3B39"/>
          <w:sz w:val="20"/>
          <w:szCs w:val="20"/>
          <w:lang w:eastAsia="it-IT"/>
        </w:rPr>
        <w:t>all</w:t>
      </w:r>
      <w:proofErr w:type="spellEnd"/>
      <w:r w:rsidRPr="005D4A03">
        <w:rPr>
          <w:rFonts w:eastAsia="Times New Roman" w:cstheme="minorHAnsi"/>
          <w:color w:val="3D3B39"/>
          <w:sz w:val="20"/>
          <w:szCs w:val="20"/>
          <w:lang w:eastAsia="it-IT"/>
        </w:rPr>
        <w:t xml:space="preserve">. 2) a cui dovrà essere apposta una marca da bollo di € 16.00 e nel quale il concorrente dovrà esplicitare la propria offerta economica e la propria offerta relativa al tempo. … Si precisa che il mancato utilizzo dei Moduli predisposti dal comune di Bevagna per la presentazione delle offerte non costituisce causa di esclusione a condizione che siano egualmente trasmesse tutte le dichiarazioni e informazioni in essi richiesti e che siano rilasciate nelle forme previste dalle vigenti disposizioni richiamate nei predetti Moduli. Pertanto, al fine di ridurre al minimo le esclusioni dalla gara per inesattezze e/o omissioni si raccomanda vivamente di usare i modelli di istanza ed offerta (Allegati 1, 2 e 3) acclusi alla presente Lettera d’invito”; il modulo contenuto nell’Allegato 2, al punto 3, richiedeva l’indicazione della stima dei costi della manodopera, ai sensi dell’art. 95, comma 10, del Codice. Nel caso in esame, pertanto, l’obbligo di indicazione in sede di offerta economica del costo della manodopera era chiaramente evincibile dalla legge di gara, essendo espressamente indicato nella modulistica per l’offerta economica inviata dall’Amministrazione procedente in data 16 gennaio 2018 il campo a ciò dedicato. Non vale neanche opporre che l’Amministrazione avrebbe indotto in errore la ricorrente inviando una nuova modulistica in sostituzione della precedente – effettivamente utilizzata dalla SO.CO.EM. s.r.l. per la presentazione dell’offerta economica – in quanto l’Allegato 2 alla lettera di invito, recante il modulo per la presentazione dell’offerta economica, si compone di un’unica pagina, pertanto facilmente confrontabile con il precedente da parte di un operatore medio, senza la possibilità di invocare l’errore scusabile. </w:t>
      </w:r>
      <w:r w:rsidRPr="005D4A03">
        <w:rPr>
          <w:rFonts w:eastAsia="Times New Roman" w:cstheme="minorHAnsi"/>
          <w:color w:val="3D3B39"/>
          <w:sz w:val="20"/>
          <w:szCs w:val="20"/>
          <w:lang w:eastAsia="it-IT"/>
        </w:rPr>
        <w:br/>
        <w:t xml:space="preserve">Né può ammettersi nel caso in esame il soccorso istruttorio, previsto dall'art. 83, comma 9, del d.lgs. n. 50 del 2016 per la mancanza, l'incompletezza e ogni altra irregolarità essenziale degli elementi e del documento di gara unico europeo di cui all'art. 85, con esclusione di quelle afferenti all'offerta tecnica ed economica, in quanto i costi della manodopera e gli oneri di sicurezza interni attengono direttamente all'offerta economica e, per la loro finalità di tutela del lavoro, ne costituiscono elemento essenziale. </w:t>
      </w:r>
      <w:r w:rsidRPr="005D4A03">
        <w:rPr>
          <w:rFonts w:eastAsia="Times New Roman" w:cstheme="minorHAnsi"/>
          <w:color w:val="3D3B39"/>
          <w:sz w:val="20"/>
          <w:szCs w:val="20"/>
          <w:lang w:eastAsia="it-IT"/>
        </w:rPr>
        <w:br/>
        <w:t xml:space="preserve">Non ignora il Collegio che circa l’ammissibilità del soccorso istruttorio in caso omessa indicazione degli elementi di cui all’art. 95, comma 10, del d.lgs. n. 50 del 2016, ed in particolare degli oneri di sicurezza aziendale, la giurisprudenza non ha raggiunto una posizione unanime in merito ad un dibattito risalente alla previgente normativa. </w:t>
      </w:r>
      <w:r w:rsidRPr="005D4A03">
        <w:rPr>
          <w:rFonts w:eastAsia="Times New Roman" w:cstheme="minorHAnsi"/>
          <w:color w:val="3D3B39"/>
          <w:sz w:val="20"/>
          <w:szCs w:val="20"/>
          <w:lang w:eastAsia="it-IT"/>
        </w:rPr>
        <w:br/>
        <w:t>L’Adunanza plenaria 27 luglio 2016, n. 19, ha affermato, anche alla luce della giurisprudenza europea, che per le gare bandite prima del nuovo codice degli appalti pubblici e delle concessioni (d.lgs. 18 aprile 2016, n. 50), laddove l’obbligo di indicazione separata dei costi di sicurezza aziendale non sia stato specificato dalla legge di gara, l’esclusione del concorrente non può essere disposta se non dopo che lo stesso sia stato invitato a regolarizzare l’offerta dalla stazione appaltante. Va aggiunto che la questione è stata altresì esaminata dalla Corte di Giustizia UE a seguito di rinvio pregiudiziale ai sensi dell’art. 267 TFUE, affermando che “il principio della parità di trattamento e l’obbligo di trasparenza, come attuati dalla direttiva 2004/18/CE del Parlamento europeo e del Consiglio, del 31 marzo 2004, relativa al coordinamento delle procedure di aggiudicazione degli appalti pubblici di lavori, di forniture e di servizi, devono essere interpretati nel senso che ostano all’esclusione di un offerente dalla procedura di aggiudicazione di un appalto pubblico a seguito dell’inosservanza, da parte di detto offerente, dell’obbligo di indicare separatamente nell’offerta i costi aziendali per la sicurezza sul lavoro, obbligo il cui mancato rispetto è sanzionato con l’esclusione dalla procedura e che non risulta espressamente dai documenti di gara o dalla normativa nazionale, bensì emerge da un’interpretazione di tale normativa e dal meccanismo diretto a colmare, con l’intervento del giudice nazionale di ultima istanza, le lacune presenti in tali documenti” (Corte di Giustizia UE sez. VI, ordinanza 10 novembre 2016 (causa C-162/16)). Dalle pronunce richiamate, anche a voler ignorare il mutato quadro normativo, non si ritiene comunque possibile far discendere la possibilità di soccorso istruttorio in ipotesi, come quella in esame, ove, come detto, l’obbligo di esplicitazione dei costi della manodopera, così come di quelli relativi agli oneri per la sicurezza, era chiaramente evincibile dalla </w:t>
      </w:r>
      <w:proofErr w:type="spellStart"/>
      <w:r w:rsidRPr="005D4A03">
        <w:rPr>
          <w:rFonts w:eastAsia="Times New Roman" w:cstheme="minorHAnsi"/>
          <w:i/>
          <w:iCs/>
          <w:color w:val="3D3B39"/>
          <w:sz w:val="20"/>
          <w:szCs w:val="20"/>
          <w:lang w:eastAsia="it-IT"/>
        </w:rPr>
        <w:t>lex</w:t>
      </w:r>
      <w:proofErr w:type="spellEnd"/>
      <w:r w:rsidRPr="005D4A03">
        <w:rPr>
          <w:rFonts w:eastAsia="Times New Roman" w:cstheme="minorHAnsi"/>
          <w:i/>
          <w:iCs/>
          <w:color w:val="3D3B39"/>
          <w:sz w:val="20"/>
          <w:szCs w:val="20"/>
          <w:lang w:eastAsia="it-IT"/>
        </w:rPr>
        <w:t xml:space="preserve"> </w:t>
      </w:r>
      <w:proofErr w:type="spellStart"/>
      <w:r w:rsidRPr="005D4A03">
        <w:rPr>
          <w:rFonts w:eastAsia="Times New Roman" w:cstheme="minorHAnsi"/>
          <w:i/>
          <w:iCs/>
          <w:color w:val="3D3B39"/>
          <w:sz w:val="20"/>
          <w:szCs w:val="20"/>
          <w:lang w:eastAsia="it-IT"/>
        </w:rPr>
        <w:t>specialis</w:t>
      </w:r>
      <w:proofErr w:type="spellEnd"/>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t xml:space="preserve">4. Le circostanze sopra esposte sono sufficienti ai fini del rigetto del ricorso. Incidentalmente, si osserva, peraltro, che appaiono condivisibili le argomentazioni esposte dalla difesa comunale in merito al rilievo esclusivamente </w:t>
      </w:r>
      <w:proofErr w:type="spellStart"/>
      <w:r w:rsidRPr="005D4A03">
        <w:rPr>
          <w:rFonts w:eastAsia="Times New Roman" w:cstheme="minorHAnsi"/>
          <w:color w:val="3D3B39"/>
          <w:sz w:val="20"/>
          <w:szCs w:val="20"/>
          <w:lang w:eastAsia="it-IT"/>
        </w:rPr>
        <w:t>endoprocedimentale</w:t>
      </w:r>
      <w:proofErr w:type="spellEnd"/>
      <w:r w:rsidRPr="005D4A03">
        <w:rPr>
          <w:rFonts w:eastAsia="Times New Roman" w:cstheme="minorHAnsi"/>
          <w:color w:val="3D3B39"/>
          <w:sz w:val="20"/>
          <w:szCs w:val="20"/>
          <w:lang w:eastAsia="it-IT"/>
        </w:rPr>
        <w:t xml:space="preserve"> degli atti istruttori prodromici alla formazione dell’atto conclusivo della procedura di gara, di per sé inidonei a generare un legittimo affidamento del partecipante e ad assumere carattere di definitività. Allo stesso modo, seppure l’iter procedimentale seguito dall’Amministrazione appaia non lineare, non si ritiene sussista la lamentata incompetenza del nuovo RUP nominato con D.G.C. n. 63 del 26 marzo 2018. Infatti, in ogni caso il RUP esercita una funzione di coordinamento e controllo, finalizzata ad assicurare il corretto svolgimento delle procedure e adotta le decisioni conseguenti alle valutazioni effettuate. </w:t>
      </w:r>
      <w:r w:rsidRPr="005D4A03">
        <w:rPr>
          <w:rFonts w:eastAsia="Times New Roman" w:cstheme="minorHAnsi"/>
          <w:color w:val="3D3B39"/>
          <w:sz w:val="20"/>
          <w:szCs w:val="20"/>
          <w:lang w:eastAsia="it-IT"/>
        </w:rPr>
        <w:br/>
        <w:t>5. Le considerazioni che precedono impongono il rigetto della domanda di annullamento di cui al ricorso principale e delle connesse domande di inefficacia dei contratti ove </w:t>
      </w:r>
      <w:r w:rsidRPr="005D4A03">
        <w:rPr>
          <w:rFonts w:eastAsia="Times New Roman" w:cstheme="minorHAnsi"/>
          <w:i/>
          <w:iCs/>
          <w:color w:val="3D3B39"/>
          <w:sz w:val="20"/>
          <w:szCs w:val="20"/>
          <w:lang w:eastAsia="it-IT"/>
        </w:rPr>
        <w:t>medio tempore</w:t>
      </w:r>
      <w:r w:rsidRPr="005D4A03">
        <w:rPr>
          <w:rFonts w:eastAsia="Times New Roman" w:cstheme="minorHAnsi"/>
          <w:color w:val="3D3B39"/>
          <w:sz w:val="20"/>
          <w:szCs w:val="20"/>
          <w:lang w:eastAsia="it-IT"/>
        </w:rPr>
        <w:t xml:space="preserve"> stipulati con l’aggiudicataria e subentro negli stessi, nonché la subordinata domanda di risarcimento dei danni. </w:t>
      </w:r>
      <w:r w:rsidRPr="005D4A03">
        <w:rPr>
          <w:rFonts w:eastAsia="Times New Roman" w:cstheme="minorHAnsi"/>
          <w:color w:val="3D3B39"/>
          <w:sz w:val="20"/>
          <w:szCs w:val="20"/>
          <w:lang w:eastAsia="it-IT"/>
        </w:rPr>
        <w:br/>
        <w:t xml:space="preserve">Si ravvisa la sussistenza di giusti motivi per compensare tra le parti in causa le spese del giudizio in considerazione delle oscillazioni giurisprudenziali, rilevate dalle stesse parti, sul punto controverso. </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lastRenderedPageBreak/>
        <w:t xml:space="preserve">P.Q.M. </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 xml:space="preserve">Il Tribunale Amministrativo Regionale per l’Umbria (Sezione Prima), definitivamente pronunciando, respinge il ricorso principale e i motivi aggiunti. </w:t>
      </w:r>
      <w:r w:rsidRPr="005D4A03">
        <w:rPr>
          <w:rFonts w:eastAsia="Times New Roman" w:cstheme="minorHAnsi"/>
          <w:color w:val="3D3B39"/>
          <w:sz w:val="20"/>
          <w:szCs w:val="20"/>
          <w:lang w:eastAsia="it-IT"/>
        </w:rPr>
        <w:br/>
        <w:t xml:space="preserve">Spese compensate. </w:t>
      </w:r>
      <w:r w:rsidRPr="005D4A03">
        <w:rPr>
          <w:rFonts w:eastAsia="Times New Roman" w:cstheme="minorHAnsi"/>
          <w:color w:val="3D3B39"/>
          <w:sz w:val="20"/>
          <w:szCs w:val="20"/>
          <w:lang w:eastAsia="it-IT"/>
        </w:rPr>
        <w:br/>
        <w:t xml:space="preserve">Ordina che la presente sentenza sia eseguita dall'autorità amministrativa. </w:t>
      </w:r>
      <w:r w:rsidRPr="005D4A03">
        <w:rPr>
          <w:rFonts w:eastAsia="Times New Roman" w:cstheme="minorHAnsi"/>
          <w:color w:val="3D3B39"/>
          <w:sz w:val="20"/>
          <w:szCs w:val="20"/>
          <w:lang w:eastAsia="it-IT"/>
        </w:rPr>
        <w:br/>
        <w:t xml:space="preserve">Così deciso in Perugia nella camera di consiglio del giorno 24 luglio 2018 con l'intervento dei magistrati: </w:t>
      </w:r>
      <w:r w:rsidRPr="005D4A03">
        <w:rPr>
          <w:rFonts w:eastAsia="Times New Roman" w:cstheme="minorHAnsi"/>
          <w:color w:val="3D3B39"/>
          <w:sz w:val="20"/>
          <w:szCs w:val="20"/>
          <w:lang w:eastAsia="it-IT"/>
        </w:rPr>
        <w:br/>
        <w:t xml:space="preserve">Raffaele Potenza, Presidente </w:t>
      </w:r>
      <w:r w:rsidRPr="005D4A03">
        <w:rPr>
          <w:rFonts w:eastAsia="Times New Roman" w:cstheme="minorHAnsi"/>
          <w:color w:val="3D3B39"/>
          <w:sz w:val="20"/>
          <w:szCs w:val="20"/>
          <w:lang w:eastAsia="it-IT"/>
        </w:rPr>
        <w:br/>
        <w:t xml:space="preserve">Enrico Mattei, Primo Referendario </w:t>
      </w:r>
      <w:r w:rsidRPr="005D4A03">
        <w:rPr>
          <w:rFonts w:eastAsia="Times New Roman" w:cstheme="minorHAnsi"/>
          <w:color w:val="3D3B39"/>
          <w:sz w:val="20"/>
          <w:szCs w:val="20"/>
          <w:lang w:eastAsia="it-IT"/>
        </w:rPr>
        <w:br/>
        <w:t xml:space="preserve">Daniela </w:t>
      </w:r>
      <w:proofErr w:type="spellStart"/>
      <w:r w:rsidRPr="005D4A03">
        <w:rPr>
          <w:rFonts w:eastAsia="Times New Roman" w:cstheme="minorHAnsi"/>
          <w:color w:val="3D3B39"/>
          <w:sz w:val="20"/>
          <w:szCs w:val="20"/>
          <w:lang w:eastAsia="it-IT"/>
        </w:rPr>
        <w:t>Carrarelli</w:t>
      </w:r>
      <w:proofErr w:type="spellEnd"/>
      <w:r w:rsidRPr="005D4A03">
        <w:rPr>
          <w:rFonts w:eastAsia="Times New Roman" w:cstheme="minorHAnsi"/>
          <w:color w:val="3D3B39"/>
          <w:sz w:val="20"/>
          <w:szCs w:val="20"/>
          <w:lang w:eastAsia="it-IT"/>
        </w:rPr>
        <w:t xml:space="preserve">, Referendario, Estensore </w:t>
      </w: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5D4A03" w:rsidRDefault="005D4A03" w:rsidP="009B213C">
      <w:pPr>
        <w:spacing w:after="265" w:line="240" w:lineRule="auto"/>
        <w:rPr>
          <w:rFonts w:eastAsia="Times New Roman" w:cstheme="minorHAnsi"/>
          <w:color w:val="3D3B39"/>
          <w:sz w:val="20"/>
          <w:szCs w:val="20"/>
          <w:lang w:eastAsia="it-IT"/>
        </w:rPr>
      </w:pPr>
    </w:p>
    <w:p w:rsidR="005D4A03" w:rsidRDefault="005D4A03" w:rsidP="009B213C">
      <w:pPr>
        <w:spacing w:after="265" w:line="240" w:lineRule="auto"/>
        <w:rPr>
          <w:rFonts w:eastAsia="Times New Roman" w:cstheme="minorHAnsi"/>
          <w:color w:val="3D3B39"/>
          <w:sz w:val="20"/>
          <w:szCs w:val="20"/>
          <w:lang w:eastAsia="it-IT"/>
        </w:rPr>
      </w:pPr>
    </w:p>
    <w:p w:rsidR="005D4A03" w:rsidRDefault="005D4A03" w:rsidP="009B213C">
      <w:pPr>
        <w:spacing w:after="265" w:line="240" w:lineRule="auto"/>
        <w:rPr>
          <w:rFonts w:eastAsia="Times New Roman" w:cstheme="minorHAnsi"/>
          <w:color w:val="3D3B39"/>
          <w:sz w:val="20"/>
          <w:szCs w:val="20"/>
          <w:lang w:eastAsia="it-IT"/>
        </w:rPr>
      </w:pPr>
    </w:p>
    <w:p w:rsidR="005D4A03" w:rsidRDefault="005D4A03" w:rsidP="009B213C">
      <w:pPr>
        <w:spacing w:after="265" w:line="240" w:lineRule="auto"/>
        <w:rPr>
          <w:rFonts w:eastAsia="Times New Roman" w:cstheme="minorHAnsi"/>
          <w:color w:val="3D3B39"/>
          <w:sz w:val="20"/>
          <w:szCs w:val="20"/>
          <w:lang w:eastAsia="it-IT"/>
        </w:rPr>
      </w:pPr>
    </w:p>
    <w:p w:rsidR="005D4A03" w:rsidRDefault="005D4A03" w:rsidP="009B213C">
      <w:pPr>
        <w:spacing w:after="265" w:line="240" w:lineRule="auto"/>
        <w:rPr>
          <w:rFonts w:eastAsia="Times New Roman" w:cstheme="minorHAnsi"/>
          <w:color w:val="3D3B39"/>
          <w:sz w:val="20"/>
          <w:szCs w:val="20"/>
          <w:lang w:eastAsia="it-IT"/>
        </w:rPr>
      </w:pPr>
    </w:p>
    <w:p w:rsidR="005D4A03" w:rsidRDefault="005D4A03" w:rsidP="009B213C">
      <w:pPr>
        <w:spacing w:after="265" w:line="240" w:lineRule="auto"/>
        <w:rPr>
          <w:rFonts w:eastAsia="Times New Roman" w:cstheme="minorHAnsi"/>
          <w:color w:val="3D3B39"/>
          <w:sz w:val="20"/>
          <w:szCs w:val="20"/>
          <w:lang w:eastAsia="it-IT"/>
        </w:rPr>
      </w:pPr>
    </w:p>
    <w:p w:rsidR="005D4A03" w:rsidRDefault="005D4A03" w:rsidP="009B213C">
      <w:pPr>
        <w:spacing w:after="265" w:line="240" w:lineRule="auto"/>
        <w:rPr>
          <w:rFonts w:eastAsia="Times New Roman" w:cstheme="minorHAnsi"/>
          <w:color w:val="3D3B39"/>
          <w:sz w:val="20"/>
          <w:szCs w:val="20"/>
          <w:lang w:eastAsia="it-IT"/>
        </w:rPr>
      </w:pPr>
    </w:p>
    <w:p w:rsidR="005D4A03" w:rsidRDefault="005D4A03" w:rsidP="009B213C">
      <w:pPr>
        <w:spacing w:after="265" w:line="240" w:lineRule="auto"/>
        <w:rPr>
          <w:rFonts w:eastAsia="Times New Roman" w:cstheme="minorHAnsi"/>
          <w:color w:val="3D3B39"/>
          <w:sz w:val="20"/>
          <w:szCs w:val="20"/>
          <w:lang w:eastAsia="it-IT"/>
        </w:rPr>
      </w:pPr>
    </w:p>
    <w:p w:rsidR="005D4A03" w:rsidRDefault="005D4A03" w:rsidP="009B213C">
      <w:pPr>
        <w:spacing w:after="265" w:line="240" w:lineRule="auto"/>
        <w:rPr>
          <w:rFonts w:eastAsia="Times New Roman" w:cstheme="minorHAnsi"/>
          <w:color w:val="3D3B39"/>
          <w:sz w:val="20"/>
          <w:szCs w:val="20"/>
          <w:lang w:eastAsia="it-IT"/>
        </w:rPr>
      </w:pPr>
    </w:p>
    <w:p w:rsidR="005D4A03" w:rsidRDefault="005D4A03" w:rsidP="009B213C">
      <w:pPr>
        <w:spacing w:after="265" w:line="240" w:lineRule="auto"/>
        <w:rPr>
          <w:rFonts w:eastAsia="Times New Roman" w:cstheme="minorHAnsi"/>
          <w:color w:val="3D3B39"/>
          <w:sz w:val="20"/>
          <w:szCs w:val="20"/>
          <w:lang w:eastAsia="it-IT"/>
        </w:rPr>
      </w:pPr>
    </w:p>
    <w:p w:rsidR="005D4A03" w:rsidRDefault="005D4A03" w:rsidP="009B213C">
      <w:pPr>
        <w:spacing w:after="265" w:line="240" w:lineRule="auto"/>
        <w:rPr>
          <w:rFonts w:eastAsia="Times New Roman" w:cstheme="minorHAnsi"/>
          <w:color w:val="3D3B39"/>
          <w:sz w:val="20"/>
          <w:szCs w:val="20"/>
          <w:lang w:eastAsia="it-IT"/>
        </w:rPr>
      </w:pPr>
    </w:p>
    <w:p w:rsidR="005D4A03" w:rsidRDefault="005D4A03" w:rsidP="009B213C">
      <w:pPr>
        <w:spacing w:after="265" w:line="240" w:lineRule="auto"/>
        <w:rPr>
          <w:rFonts w:eastAsia="Times New Roman" w:cstheme="minorHAnsi"/>
          <w:color w:val="3D3B39"/>
          <w:sz w:val="20"/>
          <w:szCs w:val="20"/>
          <w:lang w:eastAsia="it-IT"/>
        </w:rPr>
      </w:pPr>
    </w:p>
    <w:p w:rsidR="005D4A03" w:rsidRDefault="005D4A03" w:rsidP="009B213C">
      <w:pPr>
        <w:spacing w:after="265" w:line="240" w:lineRule="auto"/>
        <w:rPr>
          <w:rFonts w:eastAsia="Times New Roman" w:cstheme="minorHAnsi"/>
          <w:color w:val="3D3B39"/>
          <w:sz w:val="20"/>
          <w:szCs w:val="20"/>
          <w:lang w:eastAsia="it-IT"/>
        </w:rPr>
      </w:pP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lastRenderedPageBreak/>
        <w:t xml:space="preserve">Pubblicato il 30/08/2018 </w:t>
      </w:r>
      <w:r w:rsidRPr="005D4A03">
        <w:rPr>
          <w:rFonts w:eastAsia="Times New Roman" w:cstheme="minorHAnsi"/>
          <w:color w:val="3D3B39"/>
          <w:sz w:val="20"/>
          <w:szCs w:val="20"/>
          <w:lang w:eastAsia="it-IT"/>
        </w:rPr>
        <w:br/>
        <w:t>N. 00013/2018REG.PROV.COLL.</w:t>
      </w:r>
      <w:r w:rsidRPr="005D4A03">
        <w:rPr>
          <w:rFonts w:eastAsia="Times New Roman" w:cstheme="minorHAnsi"/>
          <w:color w:val="3D3B39"/>
          <w:sz w:val="20"/>
          <w:szCs w:val="20"/>
          <w:lang w:eastAsia="it-IT"/>
        </w:rPr>
        <w:br/>
        <w:t>N. 00010/2018 REG.RIC.A.P.</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REPUBBLICA ITALIANA</w:t>
      </w:r>
      <w:r w:rsidRPr="005D4A03">
        <w:rPr>
          <w:rFonts w:eastAsia="Times New Roman" w:cstheme="minorHAnsi"/>
          <w:color w:val="3D3B39"/>
          <w:sz w:val="20"/>
          <w:szCs w:val="20"/>
          <w:lang w:eastAsia="it-IT"/>
        </w:rPr>
        <w:br/>
        <w:t>IN NOME DEL POPOLO ITALIANO</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color w:val="3D3B39"/>
          <w:sz w:val="20"/>
          <w:szCs w:val="20"/>
          <w:lang w:eastAsia="it-IT"/>
        </w:rPr>
        <w:t>Il Consiglio di Stato</w:t>
      </w:r>
      <w:r w:rsidRPr="005D4A03">
        <w:rPr>
          <w:rFonts w:eastAsia="Times New Roman" w:cstheme="minorHAnsi"/>
          <w:color w:val="3D3B39"/>
          <w:sz w:val="20"/>
          <w:szCs w:val="20"/>
          <w:lang w:eastAsia="it-IT"/>
        </w:rPr>
        <w:br/>
        <w:t>in sede giurisdizionale (Adunanza Plenaria)</w:t>
      </w:r>
      <w:r w:rsidRPr="005D4A03">
        <w:rPr>
          <w:rFonts w:eastAsia="Times New Roman" w:cstheme="minorHAnsi"/>
          <w:color w:val="3D3B39"/>
          <w:sz w:val="20"/>
          <w:szCs w:val="20"/>
          <w:lang w:eastAsia="it-IT"/>
        </w:rPr>
        <w:br/>
        <w:t>ha pronunciato la presente</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SENTENZA</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 xml:space="preserve">sul ricorso numero di registro generale 10 di A.P. del 2018, proposto da: </w:t>
      </w:r>
      <w:r w:rsidRPr="005D4A03">
        <w:rPr>
          <w:rFonts w:eastAsia="Times New Roman" w:cstheme="minorHAnsi"/>
          <w:color w:val="3D3B39"/>
          <w:sz w:val="20"/>
          <w:szCs w:val="20"/>
          <w:lang w:eastAsia="it-IT"/>
        </w:rPr>
        <w:br/>
        <w:t xml:space="preserve">Rock And River S.r.l., in persona del legale rappresentante </w:t>
      </w:r>
      <w:r w:rsidRPr="005D4A03">
        <w:rPr>
          <w:rFonts w:eastAsia="Times New Roman" w:cstheme="minorHAnsi"/>
          <w:i/>
          <w:iCs/>
          <w:color w:val="3D3B39"/>
          <w:sz w:val="20"/>
          <w:szCs w:val="20"/>
          <w:lang w:eastAsia="it-IT"/>
        </w:rPr>
        <w:t>pro tempore</w:t>
      </w:r>
      <w:r w:rsidRPr="005D4A03">
        <w:rPr>
          <w:rFonts w:eastAsia="Times New Roman" w:cstheme="minorHAnsi"/>
          <w:color w:val="3D3B39"/>
          <w:sz w:val="20"/>
          <w:szCs w:val="20"/>
          <w:lang w:eastAsia="it-IT"/>
        </w:rPr>
        <w:t xml:space="preserve">, rappresentata e difesa dall'avvocato </w:t>
      </w:r>
      <w:proofErr w:type="spellStart"/>
      <w:r w:rsidRPr="005D4A03">
        <w:rPr>
          <w:rFonts w:eastAsia="Times New Roman" w:cstheme="minorHAnsi"/>
          <w:color w:val="3D3B39"/>
          <w:sz w:val="20"/>
          <w:szCs w:val="20"/>
          <w:lang w:eastAsia="it-IT"/>
        </w:rPr>
        <w:t>Pierlorenzo</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Boccanera</w:t>
      </w:r>
      <w:proofErr w:type="spellEnd"/>
      <w:r w:rsidRPr="005D4A03">
        <w:rPr>
          <w:rFonts w:eastAsia="Times New Roman" w:cstheme="minorHAnsi"/>
          <w:color w:val="3D3B39"/>
          <w:sz w:val="20"/>
          <w:szCs w:val="20"/>
          <w:lang w:eastAsia="it-IT"/>
        </w:rPr>
        <w:t>, con domicilio eletto presso lo studio dell’avvocato Claudio Lucisano in Roma, via Crescenzio, 91</w:t>
      </w:r>
      <w:r w:rsidRPr="005D4A03">
        <w:rPr>
          <w:rFonts w:eastAsia="Times New Roman" w:cstheme="minorHAnsi"/>
          <w:color w:val="3D3B39"/>
          <w:sz w:val="20"/>
          <w:szCs w:val="20"/>
          <w:lang w:eastAsia="it-IT"/>
        </w:rPr>
        <w:br/>
        <w:t>contro</w:t>
      </w:r>
      <w:r w:rsidRPr="005D4A03">
        <w:rPr>
          <w:rFonts w:eastAsia="Times New Roman" w:cstheme="minorHAnsi"/>
          <w:color w:val="3D3B39"/>
          <w:sz w:val="20"/>
          <w:szCs w:val="20"/>
          <w:lang w:eastAsia="it-IT"/>
        </w:rPr>
        <w:br/>
        <w:t xml:space="preserve">Anas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in persona del legale rappresentante </w:t>
      </w:r>
      <w:r w:rsidRPr="005D4A03">
        <w:rPr>
          <w:rFonts w:eastAsia="Times New Roman" w:cstheme="minorHAnsi"/>
          <w:i/>
          <w:iCs/>
          <w:color w:val="3D3B39"/>
          <w:sz w:val="20"/>
          <w:szCs w:val="20"/>
          <w:lang w:eastAsia="it-IT"/>
        </w:rPr>
        <w:t>pro tempore</w:t>
      </w:r>
      <w:r w:rsidRPr="005D4A03">
        <w:rPr>
          <w:rFonts w:eastAsia="Times New Roman" w:cstheme="minorHAnsi"/>
          <w:color w:val="3D3B39"/>
          <w:sz w:val="20"/>
          <w:szCs w:val="20"/>
          <w:lang w:eastAsia="it-IT"/>
        </w:rPr>
        <w:t xml:space="preserve">, rappresentata e difesa dagli avvocati Claudia </w:t>
      </w:r>
      <w:proofErr w:type="spellStart"/>
      <w:r w:rsidRPr="005D4A03">
        <w:rPr>
          <w:rFonts w:eastAsia="Times New Roman" w:cstheme="minorHAnsi"/>
          <w:color w:val="3D3B39"/>
          <w:sz w:val="20"/>
          <w:szCs w:val="20"/>
          <w:lang w:eastAsia="it-IT"/>
        </w:rPr>
        <w:t>Ricchetti</w:t>
      </w:r>
      <w:proofErr w:type="spellEnd"/>
      <w:r w:rsidRPr="005D4A03">
        <w:rPr>
          <w:rFonts w:eastAsia="Times New Roman" w:cstheme="minorHAnsi"/>
          <w:color w:val="3D3B39"/>
          <w:sz w:val="20"/>
          <w:szCs w:val="20"/>
          <w:lang w:eastAsia="it-IT"/>
        </w:rPr>
        <w:t xml:space="preserve">, Marina </w:t>
      </w:r>
      <w:proofErr w:type="spellStart"/>
      <w:r w:rsidRPr="005D4A03">
        <w:rPr>
          <w:rFonts w:eastAsia="Times New Roman" w:cstheme="minorHAnsi"/>
          <w:color w:val="3D3B39"/>
          <w:sz w:val="20"/>
          <w:szCs w:val="20"/>
          <w:lang w:eastAsia="it-IT"/>
        </w:rPr>
        <w:t>Persichetti</w:t>
      </w:r>
      <w:proofErr w:type="spellEnd"/>
      <w:r w:rsidRPr="005D4A03">
        <w:rPr>
          <w:rFonts w:eastAsia="Times New Roman" w:cstheme="minorHAnsi"/>
          <w:color w:val="3D3B39"/>
          <w:sz w:val="20"/>
          <w:szCs w:val="20"/>
          <w:lang w:eastAsia="it-IT"/>
        </w:rPr>
        <w:t xml:space="preserve"> e Alessandro </w:t>
      </w:r>
      <w:proofErr w:type="spellStart"/>
      <w:r w:rsidRPr="005D4A03">
        <w:rPr>
          <w:rFonts w:eastAsia="Times New Roman" w:cstheme="minorHAnsi"/>
          <w:color w:val="3D3B39"/>
          <w:sz w:val="20"/>
          <w:szCs w:val="20"/>
          <w:lang w:eastAsia="it-IT"/>
        </w:rPr>
        <w:t>Tabarini</w:t>
      </w:r>
      <w:proofErr w:type="spellEnd"/>
      <w:r w:rsidRPr="005D4A03">
        <w:rPr>
          <w:rFonts w:eastAsia="Times New Roman" w:cstheme="minorHAnsi"/>
          <w:color w:val="3D3B39"/>
          <w:sz w:val="20"/>
          <w:szCs w:val="20"/>
          <w:lang w:eastAsia="it-IT"/>
        </w:rPr>
        <w:t xml:space="preserve">, con domicilio eletto presso lo studio dell’avvocato Alessandro </w:t>
      </w:r>
      <w:proofErr w:type="spellStart"/>
      <w:r w:rsidRPr="005D4A03">
        <w:rPr>
          <w:rFonts w:eastAsia="Times New Roman" w:cstheme="minorHAnsi"/>
          <w:color w:val="3D3B39"/>
          <w:sz w:val="20"/>
          <w:szCs w:val="20"/>
          <w:lang w:eastAsia="it-IT"/>
        </w:rPr>
        <w:t>Tabarini</w:t>
      </w:r>
      <w:proofErr w:type="spellEnd"/>
      <w:r w:rsidRPr="005D4A03">
        <w:rPr>
          <w:rFonts w:eastAsia="Times New Roman" w:cstheme="minorHAnsi"/>
          <w:color w:val="3D3B39"/>
          <w:sz w:val="20"/>
          <w:szCs w:val="20"/>
          <w:lang w:eastAsia="it-IT"/>
        </w:rPr>
        <w:t xml:space="preserve"> in Giustizia - PEC Registri; </w:t>
      </w:r>
      <w:r w:rsidRPr="005D4A03">
        <w:rPr>
          <w:rFonts w:eastAsia="Times New Roman" w:cstheme="minorHAnsi"/>
          <w:color w:val="3D3B39"/>
          <w:sz w:val="20"/>
          <w:szCs w:val="20"/>
          <w:lang w:eastAsia="it-IT"/>
        </w:rPr>
        <w:br/>
      </w:r>
      <w:proofErr w:type="spellStart"/>
      <w:r w:rsidRPr="005D4A03">
        <w:rPr>
          <w:rFonts w:eastAsia="Times New Roman" w:cstheme="minorHAnsi"/>
          <w:color w:val="3D3B39"/>
          <w:sz w:val="20"/>
          <w:szCs w:val="20"/>
          <w:lang w:eastAsia="it-IT"/>
        </w:rPr>
        <w:t>Ati</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Preve</w:t>
      </w:r>
      <w:proofErr w:type="spellEnd"/>
      <w:r w:rsidRPr="005D4A03">
        <w:rPr>
          <w:rFonts w:eastAsia="Times New Roman" w:cstheme="minorHAnsi"/>
          <w:color w:val="3D3B39"/>
          <w:sz w:val="20"/>
          <w:szCs w:val="20"/>
          <w:lang w:eastAsia="it-IT"/>
        </w:rPr>
        <w:t xml:space="preserve"> Costruzioni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 </w:t>
      </w:r>
      <w:proofErr w:type="spellStart"/>
      <w:r w:rsidRPr="005D4A03">
        <w:rPr>
          <w:rFonts w:eastAsia="Times New Roman" w:cstheme="minorHAnsi"/>
          <w:color w:val="3D3B39"/>
          <w:sz w:val="20"/>
          <w:szCs w:val="20"/>
          <w:lang w:eastAsia="it-IT"/>
        </w:rPr>
        <w:t>Ciabocco</w:t>
      </w:r>
      <w:proofErr w:type="spellEnd"/>
      <w:r w:rsidRPr="005D4A03">
        <w:rPr>
          <w:rFonts w:eastAsia="Times New Roman" w:cstheme="minorHAnsi"/>
          <w:color w:val="3D3B39"/>
          <w:sz w:val="20"/>
          <w:szCs w:val="20"/>
          <w:lang w:eastAsia="it-IT"/>
        </w:rPr>
        <w:t xml:space="preserve"> S.r.l. non costituita in giudizio </w:t>
      </w:r>
      <w:r w:rsidRPr="005D4A03">
        <w:rPr>
          <w:rFonts w:eastAsia="Times New Roman" w:cstheme="minorHAnsi"/>
          <w:color w:val="3D3B39"/>
          <w:sz w:val="20"/>
          <w:szCs w:val="20"/>
          <w:lang w:eastAsia="it-IT"/>
        </w:rPr>
        <w:br/>
        <w:t>e con l'intervento di</w:t>
      </w:r>
      <w:r w:rsidRPr="005D4A03">
        <w:rPr>
          <w:rFonts w:eastAsia="Times New Roman" w:cstheme="minorHAnsi"/>
          <w:color w:val="3D3B39"/>
          <w:sz w:val="20"/>
          <w:szCs w:val="20"/>
          <w:lang w:eastAsia="it-IT"/>
        </w:rPr>
        <w:br/>
      </w:r>
      <w:r w:rsidRPr="005D4A03">
        <w:rPr>
          <w:rFonts w:eastAsia="Times New Roman" w:cstheme="minorHAnsi"/>
          <w:i/>
          <w:iCs/>
          <w:color w:val="3D3B39"/>
          <w:sz w:val="20"/>
          <w:szCs w:val="20"/>
          <w:lang w:eastAsia="it-IT"/>
        </w:rPr>
        <w:t xml:space="preserve">ad </w:t>
      </w:r>
      <w:proofErr w:type="spellStart"/>
      <w:r w:rsidRPr="005D4A03">
        <w:rPr>
          <w:rFonts w:eastAsia="Times New Roman" w:cstheme="minorHAnsi"/>
          <w:i/>
          <w:iCs/>
          <w:color w:val="3D3B39"/>
          <w:sz w:val="20"/>
          <w:szCs w:val="20"/>
          <w:lang w:eastAsia="it-IT"/>
        </w:rPr>
        <w:t>opponendum</w:t>
      </w:r>
      <w:proofErr w:type="spellEnd"/>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 xml:space="preserve">De </w:t>
      </w:r>
      <w:proofErr w:type="spellStart"/>
      <w:r w:rsidRPr="005D4A03">
        <w:rPr>
          <w:rFonts w:eastAsia="Times New Roman" w:cstheme="minorHAnsi"/>
          <w:color w:val="3D3B39"/>
          <w:sz w:val="20"/>
          <w:szCs w:val="20"/>
          <w:lang w:eastAsia="it-IT"/>
        </w:rPr>
        <w:t>Grecis</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Cos.E.Ma</w:t>
      </w:r>
      <w:proofErr w:type="spellEnd"/>
      <w:r w:rsidRPr="005D4A03">
        <w:rPr>
          <w:rFonts w:eastAsia="Times New Roman" w:cstheme="minorHAnsi"/>
          <w:color w:val="3D3B39"/>
          <w:sz w:val="20"/>
          <w:szCs w:val="20"/>
          <w:lang w:eastAsia="it-IT"/>
        </w:rPr>
        <w:t xml:space="preserve">. Verde S.r.l., Consorzio Stabile </w:t>
      </w:r>
      <w:proofErr w:type="spellStart"/>
      <w:r w:rsidRPr="005D4A03">
        <w:rPr>
          <w:rFonts w:eastAsia="Times New Roman" w:cstheme="minorHAnsi"/>
          <w:color w:val="3D3B39"/>
          <w:sz w:val="20"/>
          <w:szCs w:val="20"/>
          <w:lang w:eastAsia="it-IT"/>
        </w:rPr>
        <w:t>Athanor</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S.c.a.r.l</w:t>
      </w:r>
      <w:proofErr w:type="spellEnd"/>
      <w:r w:rsidRPr="005D4A03">
        <w:rPr>
          <w:rFonts w:eastAsia="Times New Roman" w:cstheme="minorHAnsi"/>
          <w:color w:val="3D3B39"/>
          <w:sz w:val="20"/>
          <w:szCs w:val="20"/>
          <w:lang w:eastAsia="it-IT"/>
        </w:rPr>
        <w:t xml:space="preserve">., De </w:t>
      </w:r>
      <w:proofErr w:type="spellStart"/>
      <w:r w:rsidRPr="005D4A03">
        <w:rPr>
          <w:rFonts w:eastAsia="Times New Roman" w:cstheme="minorHAnsi"/>
          <w:color w:val="3D3B39"/>
          <w:sz w:val="20"/>
          <w:szCs w:val="20"/>
          <w:lang w:eastAsia="it-IT"/>
        </w:rPr>
        <w:t>Grecis</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Cos.E.Ma</w:t>
      </w:r>
      <w:proofErr w:type="spellEnd"/>
      <w:r w:rsidRPr="005D4A03">
        <w:rPr>
          <w:rFonts w:eastAsia="Times New Roman" w:cstheme="minorHAnsi"/>
          <w:color w:val="3D3B39"/>
          <w:sz w:val="20"/>
          <w:szCs w:val="20"/>
          <w:lang w:eastAsia="it-IT"/>
        </w:rPr>
        <w:t xml:space="preserve">. Verde S.r.l., Consorzio Stabile </w:t>
      </w:r>
      <w:proofErr w:type="spellStart"/>
      <w:r w:rsidRPr="005D4A03">
        <w:rPr>
          <w:rFonts w:eastAsia="Times New Roman" w:cstheme="minorHAnsi"/>
          <w:color w:val="3D3B39"/>
          <w:sz w:val="20"/>
          <w:szCs w:val="20"/>
          <w:lang w:eastAsia="it-IT"/>
        </w:rPr>
        <w:t>Athanor</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S.c.a.r.l</w:t>
      </w:r>
      <w:proofErr w:type="spellEnd"/>
      <w:r w:rsidRPr="005D4A03">
        <w:rPr>
          <w:rFonts w:eastAsia="Times New Roman" w:cstheme="minorHAnsi"/>
          <w:color w:val="3D3B39"/>
          <w:sz w:val="20"/>
          <w:szCs w:val="20"/>
          <w:lang w:eastAsia="it-IT"/>
        </w:rPr>
        <w:t xml:space="preserve">., in persona del legale rappresentante </w:t>
      </w:r>
      <w:r w:rsidRPr="005D4A03">
        <w:rPr>
          <w:rFonts w:eastAsia="Times New Roman" w:cstheme="minorHAnsi"/>
          <w:i/>
          <w:iCs/>
          <w:color w:val="3D3B39"/>
          <w:sz w:val="20"/>
          <w:szCs w:val="20"/>
          <w:lang w:eastAsia="it-IT"/>
        </w:rPr>
        <w:t>pro tempore</w:t>
      </w:r>
      <w:r w:rsidRPr="005D4A03">
        <w:rPr>
          <w:rFonts w:eastAsia="Times New Roman" w:cstheme="minorHAnsi"/>
          <w:color w:val="3D3B39"/>
          <w:sz w:val="20"/>
          <w:szCs w:val="20"/>
          <w:lang w:eastAsia="it-IT"/>
        </w:rPr>
        <w:t xml:space="preserve">, rappresentati e difesi dall'avvocato Aldo </w:t>
      </w:r>
      <w:proofErr w:type="spellStart"/>
      <w:r w:rsidRPr="005D4A03">
        <w:rPr>
          <w:rFonts w:eastAsia="Times New Roman" w:cstheme="minorHAnsi"/>
          <w:color w:val="3D3B39"/>
          <w:sz w:val="20"/>
          <w:szCs w:val="20"/>
          <w:lang w:eastAsia="it-IT"/>
        </w:rPr>
        <w:t>Loiodice</w:t>
      </w:r>
      <w:proofErr w:type="spellEnd"/>
      <w:r w:rsidRPr="005D4A03">
        <w:rPr>
          <w:rFonts w:eastAsia="Times New Roman" w:cstheme="minorHAnsi"/>
          <w:color w:val="3D3B39"/>
          <w:sz w:val="20"/>
          <w:szCs w:val="20"/>
          <w:lang w:eastAsia="it-IT"/>
        </w:rPr>
        <w:t xml:space="preserve">, con domicilio eletto presso il suo studio in Bari, via </w:t>
      </w:r>
      <w:proofErr w:type="spellStart"/>
      <w:r w:rsidRPr="005D4A03">
        <w:rPr>
          <w:rFonts w:eastAsia="Times New Roman" w:cstheme="minorHAnsi"/>
          <w:color w:val="3D3B39"/>
          <w:sz w:val="20"/>
          <w:szCs w:val="20"/>
          <w:lang w:eastAsia="it-IT"/>
        </w:rPr>
        <w:t>Nicolai</w:t>
      </w:r>
      <w:proofErr w:type="spellEnd"/>
      <w:r w:rsidRPr="005D4A03">
        <w:rPr>
          <w:rFonts w:eastAsia="Times New Roman" w:cstheme="minorHAnsi"/>
          <w:color w:val="3D3B39"/>
          <w:sz w:val="20"/>
          <w:szCs w:val="20"/>
          <w:lang w:eastAsia="it-IT"/>
        </w:rPr>
        <w:t xml:space="preserve">, 29 </w:t>
      </w:r>
      <w:r w:rsidRPr="005D4A03">
        <w:rPr>
          <w:rFonts w:eastAsia="Times New Roman" w:cstheme="minorHAnsi"/>
          <w:color w:val="3D3B39"/>
          <w:sz w:val="20"/>
          <w:szCs w:val="20"/>
          <w:lang w:eastAsia="it-IT"/>
        </w:rPr>
        <w:br/>
        <w:t>per la riforma della sentenza del Tribunale Amministrativo Regionale per l'Umbria (Sezione Prima) n. 72/2018</w:t>
      </w:r>
      <w:r w:rsidRPr="005D4A03">
        <w:rPr>
          <w:rFonts w:eastAsia="Times New Roman" w:cstheme="minorHAnsi"/>
          <w:color w:val="3D3B39"/>
          <w:sz w:val="20"/>
          <w:szCs w:val="20"/>
          <w:lang w:eastAsia="it-IT"/>
        </w:rPr>
        <w:br/>
        <w:t> </w:t>
      </w:r>
      <w:r w:rsidRPr="005D4A03">
        <w:rPr>
          <w:rFonts w:eastAsia="Times New Roman" w:cstheme="minorHAnsi"/>
          <w:color w:val="3D3B39"/>
          <w:sz w:val="20"/>
          <w:szCs w:val="20"/>
          <w:lang w:eastAsia="it-IT"/>
        </w:rPr>
        <w:br/>
        <w:t>Visti il ricorso in appello e i relativi allegati;</w:t>
      </w:r>
      <w:r w:rsidRPr="005D4A03">
        <w:rPr>
          <w:rFonts w:eastAsia="Times New Roman" w:cstheme="minorHAnsi"/>
          <w:color w:val="3D3B39"/>
          <w:sz w:val="20"/>
          <w:szCs w:val="20"/>
          <w:lang w:eastAsia="it-IT"/>
        </w:rPr>
        <w:br/>
        <w:t xml:space="preserve">Visto l'atto di costituzione in giudizio di Anas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Viste le memorie difensive;</w:t>
      </w:r>
      <w:r w:rsidRPr="005D4A03">
        <w:rPr>
          <w:rFonts w:eastAsia="Times New Roman" w:cstheme="minorHAnsi"/>
          <w:color w:val="3D3B39"/>
          <w:sz w:val="20"/>
          <w:szCs w:val="20"/>
          <w:lang w:eastAsia="it-IT"/>
        </w:rPr>
        <w:br/>
        <w:t>Visti tutti gli atti della causa;</w:t>
      </w:r>
      <w:r w:rsidRPr="005D4A03">
        <w:rPr>
          <w:rFonts w:eastAsia="Times New Roman" w:cstheme="minorHAnsi"/>
          <w:color w:val="3D3B39"/>
          <w:sz w:val="20"/>
          <w:szCs w:val="20"/>
          <w:lang w:eastAsia="it-IT"/>
        </w:rPr>
        <w:br/>
        <w:t xml:space="preserve">Relatore nell'udienza pubblica del giorno 11 luglio 2018 il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xml:space="preserve">. Claudio Contessa e uditi per le parti l’avvocato </w:t>
      </w:r>
      <w:proofErr w:type="spellStart"/>
      <w:r w:rsidRPr="005D4A03">
        <w:rPr>
          <w:rFonts w:eastAsia="Times New Roman" w:cstheme="minorHAnsi"/>
          <w:color w:val="3D3B39"/>
          <w:sz w:val="20"/>
          <w:szCs w:val="20"/>
          <w:lang w:eastAsia="it-IT"/>
        </w:rPr>
        <w:t>Pierlorenzo</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Boccanera</w:t>
      </w:r>
      <w:proofErr w:type="spellEnd"/>
      <w:r w:rsidRPr="005D4A03">
        <w:rPr>
          <w:rFonts w:eastAsia="Times New Roman" w:cstheme="minorHAnsi"/>
          <w:color w:val="3D3B39"/>
          <w:sz w:val="20"/>
          <w:szCs w:val="20"/>
          <w:lang w:eastAsia="it-IT"/>
        </w:rPr>
        <w:t xml:space="preserve">, l’avvocato Alessandro </w:t>
      </w:r>
      <w:proofErr w:type="spellStart"/>
      <w:r w:rsidRPr="005D4A03">
        <w:rPr>
          <w:rFonts w:eastAsia="Times New Roman" w:cstheme="minorHAnsi"/>
          <w:color w:val="3D3B39"/>
          <w:sz w:val="20"/>
          <w:szCs w:val="20"/>
          <w:lang w:eastAsia="it-IT"/>
        </w:rPr>
        <w:t>Tabarini</w:t>
      </w:r>
      <w:proofErr w:type="spellEnd"/>
      <w:r w:rsidRPr="005D4A03">
        <w:rPr>
          <w:rFonts w:eastAsia="Times New Roman" w:cstheme="minorHAnsi"/>
          <w:color w:val="3D3B39"/>
          <w:sz w:val="20"/>
          <w:szCs w:val="20"/>
          <w:lang w:eastAsia="it-IT"/>
        </w:rPr>
        <w:t xml:space="preserve"> e l’avvocato Isabella </w:t>
      </w:r>
      <w:proofErr w:type="spellStart"/>
      <w:r w:rsidRPr="005D4A03">
        <w:rPr>
          <w:rFonts w:eastAsia="Times New Roman" w:cstheme="minorHAnsi"/>
          <w:color w:val="3D3B39"/>
          <w:sz w:val="20"/>
          <w:szCs w:val="20"/>
          <w:lang w:eastAsia="it-IT"/>
        </w:rPr>
        <w:t>Loiodice</w:t>
      </w:r>
      <w:proofErr w:type="spellEnd"/>
      <w:r w:rsidRPr="005D4A03">
        <w:rPr>
          <w:rFonts w:eastAsia="Times New Roman" w:cstheme="minorHAnsi"/>
          <w:color w:val="3D3B39"/>
          <w:sz w:val="20"/>
          <w:szCs w:val="20"/>
          <w:lang w:eastAsia="it-IT"/>
        </w:rPr>
        <w:t xml:space="preserve"> per delega dell’avvocato Aldo </w:t>
      </w:r>
      <w:proofErr w:type="spellStart"/>
      <w:r w:rsidRPr="005D4A03">
        <w:rPr>
          <w:rFonts w:eastAsia="Times New Roman" w:cstheme="minorHAnsi"/>
          <w:color w:val="3D3B39"/>
          <w:sz w:val="20"/>
          <w:szCs w:val="20"/>
          <w:lang w:eastAsia="it-IT"/>
        </w:rPr>
        <w:t>Loiodice</w:t>
      </w:r>
      <w:proofErr w:type="spellEnd"/>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Ritenuto e considerato in fatto e diritto quanto segue</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FATTO</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 xml:space="preserve">Come puntualmente rilevato dall’ordinanza collegiale 8 giugno 2018 n. 3472, il Tribunale Amministrativo Regionale per l’Umbria, Sezione I, con l’appellata sentenza 26 gennaio 2018, n. 72, ha respinto il ricorso e i motivi aggiunti proposti dall’attuale parte appellante Rock and River s.r.l., per l’annullamento (per quanto riguarda il ricorso introduttivo): </w:t>
      </w:r>
      <w:r w:rsidRPr="005D4A03">
        <w:rPr>
          <w:rFonts w:eastAsia="Times New Roman" w:cstheme="minorHAnsi"/>
          <w:color w:val="3D3B39"/>
          <w:sz w:val="20"/>
          <w:szCs w:val="20"/>
          <w:lang w:eastAsia="it-IT"/>
        </w:rPr>
        <w:br/>
        <w:t xml:space="preserve">- della determinazione di ANAS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di approvazione dell’aggiudicazione della gara PSL 06/17 del 15 giugno 2017 (nota </w:t>
      </w:r>
      <w:proofErr w:type="spellStart"/>
      <w:r w:rsidRPr="005D4A03">
        <w:rPr>
          <w:rFonts w:eastAsia="Times New Roman" w:cstheme="minorHAnsi"/>
          <w:color w:val="3D3B39"/>
          <w:sz w:val="20"/>
          <w:szCs w:val="20"/>
          <w:lang w:eastAsia="it-IT"/>
        </w:rPr>
        <w:t>Prot</w:t>
      </w:r>
      <w:proofErr w:type="spellEnd"/>
      <w:r w:rsidRPr="005D4A03">
        <w:rPr>
          <w:rFonts w:eastAsia="Times New Roman" w:cstheme="minorHAnsi"/>
          <w:color w:val="3D3B39"/>
          <w:sz w:val="20"/>
          <w:szCs w:val="20"/>
          <w:lang w:eastAsia="it-IT"/>
        </w:rPr>
        <w:t xml:space="preserve">. CDG 310945). L’aggiudicazione riguarda la procedura aperta accelerata indetta da ANAS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per la realizzazione di alcuni lavori di ripristino viario conseguenti al sisma del 30 novembre 2016; </w:t>
      </w:r>
      <w:r w:rsidRPr="005D4A03">
        <w:rPr>
          <w:rFonts w:eastAsia="Times New Roman" w:cstheme="minorHAnsi"/>
          <w:color w:val="3D3B39"/>
          <w:sz w:val="20"/>
          <w:szCs w:val="20"/>
          <w:lang w:eastAsia="it-IT"/>
        </w:rPr>
        <w:br/>
        <w:t xml:space="preserve">- della comunicazione di ANAS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ai sensi dell’articolo 76 del decreto legislativo 18 aprile 2016, n. 50 in data 15 giugno 2017 (nota </w:t>
      </w:r>
      <w:proofErr w:type="spellStart"/>
      <w:r w:rsidRPr="005D4A03">
        <w:rPr>
          <w:rFonts w:eastAsia="Times New Roman" w:cstheme="minorHAnsi"/>
          <w:color w:val="3D3B39"/>
          <w:sz w:val="20"/>
          <w:szCs w:val="20"/>
          <w:lang w:eastAsia="it-IT"/>
        </w:rPr>
        <w:t>prot</w:t>
      </w:r>
      <w:proofErr w:type="spellEnd"/>
      <w:r w:rsidRPr="005D4A03">
        <w:rPr>
          <w:rFonts w:eastAsia="Times New Roman" w:cstheme="minorHAnsi"/>
          <w:color w:val="3D3B39"/>
          <w:sz w:val="20"/>
          <w:szCs w:val="20"/>
          <w:lang w:eastAsia="it-IT"/>
        </w:rPr>
        <w:t xml:space="preserve">. CDG 311677 P); </w:t>
      </w:r>
      <w:r w:rsidRPr="005D4A03">
        <w:rPr>
          <w:rFonts w:eastAsia="Times New Roman" w:cstheme="minorHAnsi"/>
          <w:color w:val="3D3B39"/>
          <w:sz w:val="20"/>
          <w:szCs w:val="20"/>
          <w:lang w:eastAsia="it-IT"/>
        </w:rPr>
        <w:br/>
        <w:t xml:space="preserve">- della comunicazione di ANAS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relativa alle offerte anomale (</w:t>
      </w:r>
      <w:proofErr w:type="spellStart"/>
      <w:r w:rsidRPr="005D4A03">
        <w:rPr>
          <w:rFonts w:eastAsia="Times New Roman" w:cstheme="minorHAnsi"/>
          <w:color w:val="3D3B39"/>
          <w:sz w:val="20"/>
          <w:szCs w:val="20"/>
          <w:lang w:eastAsia="it-IT"/>
        </w:rPr>
        <w:t>prot</w:t>
      </w:r>
      <w:proofErr w:type="spellEnd"/>
      <w:r w:rsidRPr="005D4A03">
        <w:rPr>
          <w:rFonts w:eastAsia="Times New Roman" w:cstheme="minorHAnsi"/>
          <w:color w:val="3D3B39"/>
          <w:sz w:val="20"/>
          <w:szCs w:val="20"/>
          <w:lang w:eastAsia="it-IT"/>
        </w:rPr>
        <w:t xml:space="preserve">. 311882 del 16 giugno 2017); </w:t>
      </w:r>
      <w:r w:rsidRPr="005D4A03">
        <w:rPr>
          <w:rFonts w:eastAsia="Times New Roman" w:cstheme="minorHAnsi"/>
          <w:color w:val="3D3B39"/>
          <w:sz w:val="20"/>
          <w:szCs w:val="20"/>
          <w:lang w:eastAsia="it-IT"/>
        </w:rPr>
        <w:br/>
        <w:t xml:space="preserve">- della comunicazione di ANAS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relativa alla stipula del contratto (nota </w:t>
      </w:r>
      <w:proofErr w:type="spellStart"/>
      <w:r w:rsidRPr="005D4A03">
        <w:rPr>
          <w:rFonts w:eastAsia="Times New Roman" w:cstheme="minorHAnsi"/>
          <w:color w:val="3D3B39"/>
          <w:sz w:val="20"/>
          <w:szCs w:val="20"/>
          <w:lang w:eastAsia="it-IT"/>
        </w:rPr>
        <w:t>prot</w:t>
      </w:r>
      <w:proofErr w:type="spellEnd"/>
      <w:r w:rsidRPr="005D4A03">
        <w:rPr>
          <w:rFonts w:eastAsia="Times New Roman" w:cstheme="minorHAnsi"/>
          <w:color w:val="3D3B39"/>
          <w:sz w:val="20"/>
          <w:szCs w:val="20"/>
          <w:lang w:eastAsia="it-IT"/>
        </w:rPr>
        <w:t xml:space="preserve">. 327834 del 23 giugno 2017); </w:t>
      </w:r>
      <w:r w:rsidRPr="005D4A03">
        <w:rPr>
          <w:rFonts w:eastAsia="Times New Roman" w:cstheme="minorHAnsi"/>
          <w:color w:val="3D3B39"/>
          <w:sz w:val="20"/>
          <w:szCs w:val="20"/>
          <w:lang w:eastAsia="it-IT"/>
        </w:rPr>
        <w:br/>
        <w:t xml:space="preserve">- della comunicazione di ANAS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Prot.328752 del 26 giugno 2017; </w:t>
      </w:r>
      <w:r w:rsidRPr="005D4A03">
        <w:rPr>
          <w:rFonts w:eastAsia="Times New Roman" w:cstheme="minorHAnsi"/>
          <w:color w:val="3D3B39"/>
          <w:sz w:val="20"/>
          <w:szCs w:val="20"/>
          <w:lang w:eastAsia="it-IT"/>
        </w:rPr>
        <w:br/>
        <w:t>- del “</w:t>
      </w:r>
      <w:r w:rsidRPr="005D4A03">
        <w:rPr>
          <w:rFonts w:eastAsia="Times New Roman" w:cstheme="minorHAnsi"/>
          <w:i/>
          <w:iCs/>
          <w:color w:val="3D3B39"/>
          <w:sz w:val="20"/>
          <w:szCs w:val="20"/>
          <w:lang w:eastAsia="it-IT"/>
        </w:rPr>
        <w:t>Calcolo Offerta anomala</w:t>
      </w:r>
      <w:r w:rsidRPr="005D4A03">
        <w:rPr>
          <w:rFonts w:eastAsia="Times New Roman" w:cstheme="minorHAnsi"/>
          <w:color w:val="3D3B39"/>
          <w:sz w:val="20"/>
          <w:szCs w:val="20"/>
          <w:lang w:eastAsia="it-IT"/>
        </w:rPr>
        <w:t xml:space="preserve">” trasmesso in data 13 luglio 2017 in sede di accesso agli atti; </w:t>
      </w:r>
      <w:r w:rsidRPr="005D4A03">
        <w:rPr>
          <w:rFonts w:eastAsia="Times New Roman" w:cstheme="minorHAnsi"/>
          <w:color w:val="3D3B39"/>
          <w:sz w:val="20"/>
          <w:szCs w:val="20"/>
          <w:lang w:eastAsia="it-IT"/>
        </w:rPr>
        <w:br/>
        <w:t xml:space="preserve">- del verbale n. 1 della seduta pubblica (rep. 8393); </w:t>
      </w:r>
      <w:r w:rsidRPr="005D4A03">
        <w:rPr>
          <w:rFonts w:eastAsia="Times New Roman" w:cstheme="minorHAnsi"/>
          <w:color w:val="3D3B39"/>
          <w:sz w:val="20"/>
          <w:szCs w:val="20"/>
          <w:lang w:eastAsia="it-IT"/>
        </w:rPr>
        <w:br/>
        <w:t xml:space="preserve">- del verbale n. 2 della seduta pubblica (rep. 8409); </w:t>
      </w:r>
      <w:r w:rsidRPr="005D4A03">
        <w:rPr>
          <w:rFonts w:eastAsia="Times New Roman" w:cstheme="minorHAnsi"/>
          <w:color w:val="3D3B39"/>
          <w:sz w:val="20"/>
          <w:szCs w:val="20"/>
          <w:lang w:eastAsia="it-IT"/>
        </w:rPr>
        <w:br/>
        <w:t xml:space="preserve">- del verbale di aggiudicazione provvisoria (cod. 33125) di ANAS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 Direzione Generale di Roma, con cui venivano formate le graduatorie e l’appalto veniva assegnato all’A.T.I. </w:t>
      </w:r>
      <w:proofErr w:type="spellStart"/>
      <w:r w:rsidRPr="005D4A03">
        <w:rPr>
          <w:rFonts w:eastAsia="Times New Roman" w:cstheme="minorHAnsi"/>
          <w:color w:val="3D3B39"/>
          <w:sz w:val="20"/>
          <w:szCs w:val="20"/>
          <w:lang w:eastAsia="it-IT"/>
        </w:rPr>
        <w:t>Preve</w:t>
      </w:r>
      <w:proofErr w:type="spellEnd"/>
      <w:r w:rsidRPr="005D4A03">
        <w:rPr>
          <w:rFonts w:eastAsia="Times New Roman" w:cstheme="minorHAnsi"/>
          <w:color w:val="3D3B39"/>
          <w:sz w:val="20"/>
          <w:szCs w:val="20"/>
          <w:lang w:eastAsia="it-IT"/>
        </w:rPr>
        <w:t xml:space="preserve"> Costruzioni - </w:t>
      </w:r>
      <w:proofErr w:type="spellStart"/>
      <w:r w:rsidRPr="005D4A03">
        <w:rPr>
          <w:rFonts w:eastAsia="Times New Roman" w:cstheme="minorHAnsi"/>
          <w:color w:val="3D3B39"/>
          <w:sz w:val="20"/>
          <w:szCs w:val="20"/>
          <w:lang w:eastAsia="it-IT"/>
        </w:rPr>
        <w:t>Ciabocco</w:t>
      </w:r>
      <w:proofErr w:type="spellEnd"/>
      <w:r w:rsidRPr="005D4A03">
        <w:rPr>
          <w:rFonts w:eastAsia="Times New Roman" w:cstheme="minorHAnsi"/>
          <w:color w:val="3D3B39"/>
          <w:sz w:val="20"/>
          <w:szCs w:val="20"/>
          <w:lang w:eastAsia="it-IT"/>
        </w:rPr>
        <w:t xml:space="preserve"> e veniva altresì data comunicazione della stipula del contratto;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lastRenderedPageBreak/>
        <w:t>Con successivi motivi aggiunti la Rock and River ha impugnato e chiesto l’annullamento:</w:t>
      </w:r>
      <w:r w:rsidRPr="005D4A03">
        <w:rPr>
          <w:rFonts w:eastAsia="Times New Roman" w:cstheme="minorHAnsi"/>
          <w:color w:val="3D3B39"/>
          <w:sz w:val="20"/>
          <w:szCs w:val="20"/>
          <w:lang w:eastAsia="it-IT"/>
        </w:rPr>
        <w:br/>
        <w:t xml:space="preserve">- della nota di ANAS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prot</w:t>
      </w:r>
      <w:proofErr w:type="spellEnd"/>
      <w:r w:rsidRPr="005D4A03">
        <w:rPr>
          <w:rFonts w:eastAsia="Times New Roman" w:cstheme="minorHAnsi"/>
          <w:color w:val="3D3B39"/>
          <w:sz w:val="20"/>
          <w:szCs w:val="20"/>
          <w:lang w:eastAsia="it-IT"/>
        </w:rPr>
        <w:t>. CDG-0371928 del 17 luglio 2017.</w:t>
      </w:r>
      <w:r w:rsidRPr="005D4A03">
        <w:rPr>
          <w:rFonts w:eastAsia="Times New Roman" w:cstheme="minorHAnsi"/>
          <w:color w:val="3D3B39"/>
          <w:sz w:val="20"/>
          <w:szCs w:val="20"/>
          <w:lang w:eastAsia="it-IT"/>
        </w:rPr>
        <w:br/>
        <w:t>Il primo Giudice ha rilevato sinteticamente che:</w:t>
      </w:r>
      <w:r w:rsidRPr="005D4A03">
        <w:rPr>
          <w:rFonts w:eastAsia="Times New Roman" w:cstheme="minorHAnsi"/>
          <w:color w:val="3D3B39"/>
          <w:sz w:val="20"/>
          <w:szCs w:val="20"/>
          <w:lang w:eastAsia="it-IT"/>
        </w:rPr>
        <w:br/>
        <w:t>- secondo parte ricorrente, la stazione appaltante avrebbe erroneamente proceduto a redigere una doppia media: “</w:t>
      </w:r>
      <w:r w:rsidRPr="005D4A03">
        <w:rPr>
          <w:rFonts w:eastAsia="Times New Roman" w:cstheme="minorHAnsi"/>
          <w:i/>
          <w:iCs/>
          <w:color w:val="3D3B39"/>
          <w:sz w:val="20"/>
          <w:szCs w:val="20"/>
          <w:lang w:eastAsia="it-IT"/>
        </w:rPr>
        <w:t>la prima rappresentata dalla sommatoria di tutti i ribassi percentuali delle 72 offerte presentate, indicando tale valore in 2.086,17 in prospettiva evidentemente di individuare la natura (pari dispari o zero del primo numero dopo la virgola); la seconda prendendo, evidentemente, la sommatoria delle 42 offerte al netto del taglio delle ali (1.243,442) dividendolo per 42 (72-20% delle offerte estreme - c.d. “ali” - arrotondate alla unità superiore)</w:t>
      </w:r>
      <w:r w:rsidRPr="005D4A03">
        <w:rPr>
          <w:rFonts w:eastAsia="Times New Roman" w:cstheme="minorHAnsi"/>
          <w:color w:val="3D3B39"/>
          <w:sz w:val="20"/>
          <w:szCs w:val="20"/>
          <w:lang w:eastAsia="it-IT"/>
        </w:rPr>
        <w:t>” e ciò avrebbe determinato una soglia di anomalia pari al 29,31 per cento;</w:t>
      </w:r>
      <w:r w:rsidRPr="005D4A03">
        <w:rPr>
          <w:rFonts w:eastAsia="Times New Roman" w:cstheme="minorHAnsi"/>
          <w:color w:val="3D3B39"/>
          <w:sz w:val="20"/>
          <w:szCs w:val="20"/>
          <w:lang w:eastAsia="it-IT"/>
        </w:rPr>
        <w:br/>
        <w:t>- nella fattispecie, il metodo sorteggiato dal seggio di gara per la determinazione della soglia di anomalia è quello di cui all’articolo 97, comma 2, lettera b) del decreto legislativo n. 50 del 2016;</w:t>
      </w:r>
      <w:r w:rsidRPr="005D4A03">
        <w:rPr>
          <w:rFonts w:eastAsia="Times New Roman" w:cstheme="minorHAnsi"/>
          <w:color w:val="3D3B39"/>
          <w:sz w:val="20"/>
          <w:szCs w:val="20"/>
          <w:lang w:eastAsia="it-IT"/>
        </w:rPr>
        <w:br/>
        <w:t xml:space="preserve">- coerentemente al suesposto dettato normativo, la soglia di anomalia è stata quindi individuata nella media aritmetica dei ribassi percentuali di tutte le offerte ammesse, con esclusione del venti per cento rispettivamente delle offerte di maggior ribasso e di quelle di minor ribasso (c.d.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 la quale è stata correttamente decurtata, percentualmente, di un valore pari alla prima cifra decimale, dopo la virgola, della somma dei ribassi offerti dai ricorrenti ammessi, senza tener conto del taglio delle ali, essendo tale cifra risultata dispari;</w:t>
      </w:r>
      <w:r w:rsidRPr="005D4A03">
        <w:rPr>
          <w:rFonts w:eastAsia="Times New Roman" w:cstheme="minorHAnsi"/>
          <w:color w:val="3D3B39"/>
          <w:sz w:val="20"/>
          <w:szCs w:val="20"/>
          <w:lang w:eastAsia="it-IT"/>
        </w:rPr>
        <w:br/>
        <w:t xml:space="preserve">- non può, infine, essere accolta la censura secondo cui ANAS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avrebbe dovuto avvalersi, in forza delle deroghe legislative previste dalla normativa conseguente al sisma del 30 novembre 2016, di una delle imprese del cratere del sisma, non risultando alcuna disposizione normativa che imponga alla stazione appaltante di procedere in tal senso.</w:t>
      </w:r>
      <w:r w:rsidRPr="005D4A03">
        <w:rPr>
          <w:rFonts w:eastAsia="Times New Roman" w:cstheme="minorHAnsi"/>
          <w:color w:val="3D3B39"/>
          <w:sz w:val="20"/>
          <w:szCs w:val="20"/>
          <w:lang w:eastAsia="it-IT"/>
        </w:rPr>
        <w:br/>
        <w:t>La sentenza in questione è stata impugnata in appello dalla Rock and River la quale ne ha chiesto la riforma articolando i seguenti motivi:</w:t>
      </w:r>
      <w:r w:rsidRPr="005D4A03">
        <w:rPr>
          <w:rFonts w:eastAsia="Times New Roman" w:cstheme="minorHAnsi"/>
          <w:color w:val="3D3B39"/>
          <w:sz w:val="20"/>
          <w:szCs w:val="20"/>
          <w:lang w:eastAsia="it-IT"/>
        </w:rPr>
        <w:br/>
        <w:t xml:space="preserve">- </w:t>
      </w:r>
      <w:r w:rsidRPr="005D4A03">
        <w:rPr>
          <w:rFonts w:eastAsia="Times New Roman" w:cstheme="minorHAnsi"/>
          <w:i/>
          <w:iCs/>
          <w:color w:val="3D3B39"/>
          <w:sz w:val="20"/>
          <w:szCs w:val="20"/>
          <w:lang w:eastAsia="it-IT"/>
        </w:rPr>
        <w:t xml:space="preserve">Violazione e falsa applicazione dell’art. 97 comma 2, </w:t>
      </w:r>
      <w:proofErr w:type="spellStart"/>
      <w:r w:rsidRPr="005D4A03">
        <w:rPr>
          <w:rFonts w:eastAsia="Times New Roman" w:cstheme="minorHAnsi"/>
          <w:i/>
          <w:iCs/>
          <w:color w:val="3D3B39"/>
          <w:sz w:val="20"/>
          <w:szCs w:val="20"/>
          <w:lang w:eastAsia="it-IT"/>
        </w:rPr>
        <w:t>lett</w:t>
      </w:r>
      <w:proofErr w:type="spellEnd"/>
      <w:r w:rsidRPr="005D4A03">
        <w:rPr>
          <w:rFonts w:eastAsia="Times New Roman" w:cstheme="minorHAnsi"/>
          <w:i/>
          <w:iCs/>
          <w:color w:val="3D3B39"/>
          <w:sz w:val="20"/>
          <w:szCs w:val="20"/>
          <w:lang w:eastAsia="it-IT"/>
        </w:rPr>
        <w:t xml:space="preserve"> b), d.lgs. n. 50-2016 e delle “direttive” ANAC del 5.10.2016; violazione del principio di selezione della migliore offerta in tema di gare pubbliche, travisamento e sviamento contraddittorietà ed illogicità, violazione di legge ed eccesso di potere per violazione dei principi di buon andamento e imparzialità della p.a., violazione della “</w:t>
      </w:r>
      <w:proofErr w:type="spellStart"/>
      <w:r w:rsidRPr="005D4A03">
        <w:rPr>
          <w:rFonts w:eastAsia="Times New Roman" w:cstheme="minorHAnsi"/>
          <w:i/>
          <w:iCs/>
          <w:color w:val="3D3B39"/>
          <w:sz w:val="20"/>
          <w:szCs w:val="20"/>
          <w:lang w:eastAsia="it-IT"/>
        </w:rPr>
        <w:t>lex</w:t>
      </w:r>
      <w:proofErr w:type="spellEnd"/>
      <w:r w:rsidRPr="005D4A03">
        <w:rPr>
          <w:rFonts w:eastAsia="Times New Roman" w:cstheme="minorHAnsi"/>
          <w:i/>
          <w:iCs/>
          <w:color w:val="3D3B39"/>
          <w:sz w:val="20"/>
          <w:szCs w:val="20"/>
          <w:lang w:eastAsia="it-IT"/>
        </w:rPr>
        <w:t xml:space="preserve"> </w:t>
      </w:r>
      <w:proofErr w:type="spellStart"/>
      <w:r w:rsidRPr="005D4A03">
        <w:rPr>
          <w:rFonts w:eastAsia="Times New Roman" w:cstheme="minorHAnsi"/>
          <w:i/>
          <w:iCs/>
          <w:color w:val="3D3B39"/>
          <w:sz w:val="20"/>
          <w:szCs w:val="20"/>
          <w:lang w:eastAsia="it-IT"/>
        </w:rPr>
        <w:t>specialis</w:t>
      </w:r>
      <w:proofErr w:type="spellEnd"/>
      <w:r w:rsidRPr="005D4A03">
        <w:rPr>
          <w:rFonts w:eastAsia="Times New Roman" w:cstheme="minorHAnsi"/>
          <w:i/>
          <w:iCs/>
          <w:color w:val="3D3B39"/>
          <w:sz w:val="20"/>
          <w:szCs w:val="20"/>
          <w:lang w:eastAsia="it-IT"/>
        </w:rPr>
        <w:t>” di gara, disparità di trattamento, ingiustizia manifesta, falsità dei presupposti di fatto e di diritto, difetto di ragionevolezza, difetto di istruttoria, nonché’ per la violazione dei principi generali in materia di gare pubbliche.</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t>Con l’appello in esame la Rock and River ha chiesto l’integrale riforma della sentenza di primo grado.</w:t>
      </w:r>
      <w:r w:rsidRPr="005D4A03">
        <w:rPr>
          <w:rFonts w:eastAsia="Times New Roman" w:cstheme="minorHAnsi"/>
          <w:color w:val="3D3B39"/>
          <w:sz w:val="20"/>
          <w:szCs w:val="20"/>
          <w:lang w:eastAsia="it-IT"/>
        </w:rPr>
        <w:br/>
        <w:t>Si è costituita in giudizio l’ANAS la quale ha concluso nel senso della reiezione dell’appello.</w:t>
      </w:r>
      <w:r w:rsidRPr="005D4A03">
        <w:rPr>
          <w:rFonts w:eastAsia="Times New Roman" w:cstheme="minorHAnsi"/>
          <w:color w:val="3D3B39"/>
          <w:sz w:val="20"/>
          <w:szCs w:val="20"/>
          <w:lang w:eastAsia="it-IT"/>
        </w:rPr>
        <w:br/>
        <w:t xml:space="preserve">Con ordinanza collegiale n. 3472/2018 (resa all’esito della camera di consiglio del 17 maggio 2018) la Quinta Sezione di questo Consiglio di Stato, rilevato un contrasto in giurisprudenza circa un profilo di diritto decisivo ai fini della definizione della controversia, ha sospeso il giudizio e ha rimesso la questione a questa Adunanza plenaria (articolo 99 del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In particolare è stata demandata a questa Adunanza plenaria la questione relativa alla corretta interpretazione dell’articolo 97, comma 2, lettera b) del decreto legislativo n 50 del 2016 con specifico riguardo alla nozione di “concorrenti ammessi”.</w:t>
      </w:r>
      <w:r w:rsidRPr="005D4A03">
        <w:rPr>
          <w:rFonts w:eastAsia="Times New Roman" w:cstheme="minorHAnsi"/>
          <w:color w:val="3D3B39"/>
          <w:sz w:val="20"/>
          <w:szCs w:val="20"/>
          <w:lang w:eastAsia="it-IT"/>
        </w:rPr>
        <w:br/>
        <w:t xml:space="preserve">A seguito dell’ordinanza di rimessione si è costituito in giudizio il raggruppamento temporaneo De </w:t>
      </w:r>
      <w:proofErr w:type="spellStart"/>
      <w:r w:rsidRPr="005D4A03">
        <w:rPr>
          <w:rFonts w:eastAsia="Times New Roman" w:cstheme="minorHAnsi"/>
          <w:color w:val="3D3B39"/>
          <w:sz w:val="20"/>
          <w:szCs w:val="20"/>
          <w:lang w:eastAsia="it-IT"/>
        </w:rPr>
        <w:t>Grecis</w:t>
      </w:r>
      <w:proofErr w:type="spellEnd"/>
      <w:r w:rsidRPr="005D4A03">
        <w:rPr>
          <w:rFonts w:eastAsia="Times New Roman" w:cstheme="minorHAnsi"/>
          <w:color w:val="3D3B39"/>
          <w:sz w:val="20"/>
          <w:szCs w:val="20"/>
          <w:lang w:eastAsia="it-IT"/>
        </w:rPr>
        <w:t xml:space="preserve"> (con il Consorzio Stabile </w:t>
      </w:r>
      <w:proofErr w:type="spellStart"/>
      <w:r w:rsidRPr="005D4A03">
        <w:rPr>
          <w:rFonts w:eastAsia="Times New Roman" w:cstheme="minorHAnsi"/>
          <w:color w:val="3D3B39"/>
          <w:sz w:val="20"/>
          <w:szCs w:val="20"/>
          <w:lang w:eastAsia="it-IT"/>
        </w:rPr>
        <w:t>Athanor</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s.c.a.r.l</w:t>
      </w:r>
      <w:proofErr w:type="spellEnd"/>
      <w:r w:rsidRPr="005D4A03">
        <w:rPr>
          <w:rFonts w:eastAsia="Times New Roman" w:cstheme="minorHAnsi"/>
          <w:color w:val="3D3B39"/>
          <w:sz w:val="20"/>
          <w:szCs w:val="20"/>
          <w:lang w:eastAsia="it-IT"/>
        </w:rPr>
        <w:t xml:space="preserve">.) il quale, premesso di non essere parte in causa nel presente giudizio ma di avere un interesse diretto alla definizione della medesima </w:t>
      </w:r>
      <w:r w:rsidRPr="005D4A03">
        <w:rPr>
          <w:rFonts w:eastAsia="Times New Roman" w:cstheme="minorHAnsi"/>
          <w:i/>
          <w:iCs/>
          <w:color w:val="3D3B39"/>
          <w:sz w:val="20"/>
          <w:szCs w:val="20"/>
          <w:lang w:eastAsia="it-IT"/>
        </w:rPr>
        <w:t xml:space="preserve">quaestio </w:t>
      </w:r>
      <w:proofErr w:type="spellStart"/>
      <w:r w:rsidRPr="005D4A03">
        <w:rPr>
          <w:rFonts w:eastAsia="Times New Roman" w:cstheme="minorHAnsi"/>
          <w:i/>
          <w:iCs/>
          <w:color w:val="3D3B39"/>
          <w:sz w:val="20"/>
          <w:szCs w:val="20"/>
          <w:lang w:eastAsia="it-IT"/>
        </w:rPr>
        <w:t>iuris</w:t>
      </w:r>
      <w:proofErr w:type="spellEnd"/>
      <w:r w:rsidRPr="005D4A03">
        <w:rPr>
          <w:rFonts w:eastAsia="Times New Roman" w:cstheme="minorHAnsi"/>
          <w:color w:val="3D3B39"/>
          <w:sz w:val="20"/>
          <w:szCs w:val="20"/>
          <w:lang w:eastAsia="it-IT"/>
        </w:rPr>
        <w:t xml:space="preserve"> demandata a questa Adunanza plenaria, ha spiegato atto di intervento in giudizio aderendo alla soluzione prospettata nell’ambito dell’ordinanza di rimessione.</w:t>
      </w:r>
      <w:r w:rsidRPr="005D4A03">
        <w:rPr>
          <w:rFonts w:eastAsia="Times New Roman" w:cstheme="minorHAnsi"/>
          <w:color w:val="3D3B39"/>
          <w:sz w:val="20"/>
          <w:szCs w:val="20"/>
          <w:lang w:eastAsia="it-IT"/>
        </w:rPr>
        <w:br/>
        <w:t xml:space="preserve">In particolare, l’interveniente De </w:t>
      </w:r>
      <w:proofErr w:type="spellStart"/>
      <w:r w:rsidRPr="005D4A03">
        <w:rPr>
          <w:rFonts w:eastAsia="Times New Roman" w:cstheme="minorHAnsi"/>
          <w:color w:val="3D3B39"/>
          <w:sz w:val="20"/>
          <w:szCs w:val="20"/>
          <w:lang w:eastAsia="it-IT"/>
        </w:rPr>
        <w:t>Grecis</w:t>
      </w:r>
      <w:proofErr w:type="spellEnd"/>
      <w:r w:rsidRPr="005D4A03">
        <w:rPr>
          <w:rFonts w:eastAsia="Times New Roman" w:cstheme="minorHAnsi"/>
          <w:color w:val="3D3B39"/>
          <w:sz w:val="20"/>
          <w:szCs w:val="20"/>
          <w:lang w:eastAsia="it-IT"/>
        </w:rPr>
        <w:t xml:space="preserve"> ha rappresentato che la soluzione alla questione sollevata dalla Quinta Sezione di questo Consiglio di Stato ha incidenza sugli esiti di una gara in corso presso il Comune di Bari, nell’ambito della quale l’interveniente è allo stato collocata al primo posto della graduatoria.</w:t>
      </w:r>
      <w:r w:rsidRPr="005D4A03">
        <w:rPr>
          <w:rFonts w:eastAsia="Times New Roman" w:cstheme="minorHAnsi"/>
          <w:color w:val="3D3B39"/>
          <w:sz w:val="20"/>
          <w:szCs w:val="20"/>
          <w:lang w:eastAsia="it-IT"/>
        </w:rPr>
        <w:br/>
        <w:t>Alla pubblica udienza del giorno 11 luglio 2018 il ricorso è stato trattenuto in decisione.</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DIRITTO</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 xml:space="preserve">1. Giunge alla decisione dell’Adunanza plenaria il ricorso in appello proposto dalla Rock and River s.r.l., attiva nel settore dei lavori (la quale aveva partecipato alla procedura aperta accelerata indetta dall’ANAS per la realizzazione di alcuni lavori di ripristino viario conseguenti al sisma del 30 novembre 2016) avverso la sentenza del Tribunale amministrativo regionale dell’Umbria con cui è stato respinto il ricorso avverso gli atti con cui la gara in parola, a seguito della determinazione della soglia di anomalia è stata aggiudicata all’A.T.I. </w:t>
      </w:r>
      <w:proofErr w:type="spellStart"/>
      <w:r w:rsidRPr="005D4A03">
        <w:rPr>
          <w:rFonts w:eastAsia="Times New Roman" w:cstheme="minorHAnsi"/>
          <w:color w:val="3D3B39"/>
          <w:sz w:val="20"/>
          <w:szCs w:val="20"/>
          <w:lang w:eastAsia="it-IT"/>
        </w:rPr>
        <w:t>Preve</w:t>
      </w:r>
      <w:proofErr w:type="spellEnd"/>
      <w:r w:rsidRPr="005D4A03">
        <w:rPr>
          <w:rFonts w:eastAsia="Times New Roman" w:cstheme="minorHAnsi"/>
          <w:color w:val="3D3B39"/>
          <w:sz w:val="20"/>
          <w:szCs w:val="20"/>
          <w:lang w:eastAsia="it-IT"/>
        </w:rPr>
        <w:t xml:space="preserve"> (prima offerta non anomala)</w:t>
      </w:r>
      <w:r w:rsidRPr="005D4A03">
        <w:rPr>
          <w:rFonts w:eastAsia="Times New Roman" w:cstheme="minorHAnsi"/>
          <w:color w:val="3D3B39"/>
          <w:sz w:val="20"/>
          <w:szCs w:val="20"/>
          <w:lang w:eastAsia="it-IT"/>
        </w:rPr>
        <w:br/>
        <w:t xml:space="preserve">2. L'intervento volontario del R.T.I. De </w:t>
      </w:r>
      <w:proofErr w:type="spellStart"/>
      <w:r w:rsidRPr="005D4A03">
        <w:rPr>
          <w:rFonts w:eastAsia="Times New Roman" w:cstheme="minorHAnsi"/>
          <w:color w:val="3D3B39"/>
          <w:sz w:val="20"/>
          <w:szCs w:val="20"/>
          <w:lang w:eastAsia="it-IT"/>
        </w:rPr>
        <w:t>Grecis</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Cos.E.Ma</w:t>
      </w:r>
      <w:proofErr w:type="spellEnd"/>
      <w:r w:rsidRPr="005D4A03">
        <w:rPr>
          <w:rFonts w:eastAsia="Times New Roman" w:cstheme="minorHAnsi"/>
          <w:color w:val="3D3B39"/>
          <w:sz w:val="20"/>
          <w:szCs w:val="20"/>
          <w:lang w:eastAsia="it-IT"/>
        </w:rPr>
        <w:t xml:space="preserve">. Verde s.r.l. con il Consorzio Stabile </w:t>
      </w:r>
      <w:proofErr w:type="spellStart"/>
      <w:r w:rsidRPr="005D4A03">
        <w:rPr>
          <w:rFonts w:eastAsia="Times New Roman" w:cstheme="minorHAnsi"/>
          <w:color w:val="3D3B39"/>
          <w:sz w:val="20"/>
          <w:szCs w:val="20"/>
          <w:lang w:eastAsia="it-IT"/>
        </w:rPr>
        <w:t>Athanor</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s.c.a.r.l</w:t>
      </w:r>
      <w:proofErr w:type="spellEnd"/>
      <w:r w:rsidRPr="005D4A03">
        <w:rPr>
          <w:rFonts w:eastAsia="Times New Roman" w:cstheme="minorHAnsi"/>
          <w:color w:val="3D3B39"/>
          <w:sz w:val="20"/>
          <w:szCs w:val="20"/>
          <w:lang w:eastAsia="it-IT"/>
        </w:rPr>
        <w:t>. è inammissibile.</w:t>
      </w:r>
      <w:r w:rsidRPr="005D4A03">
        <w:rPr>
          <w:rFonts w:eastAsia="Times New Roman" w:cstheme="minorHAnsi"/>
          <w:color w:val="3D3B39"/>
          <w:sz w:val="20"/>
          <w:szCs w:val="20"/>
          <w:lang w:eastAsia="it-IT"/>
        </w:rPr>
        <w:br/>
        <w:t xml:space="preserve">2.1. Come si è anticipato in narrativa l’interveniente, dopo aver premesso di non essere parte in causa nel presente giudizio, ha rappresentato di avere comunque un interesse diretto alla definizione della questione di diritto demandata a questa Adunanza plenaria. Ciò in quanto, laddove questo consesso risolvesse la questione interpretativa dell’articolo 97, comma 2, lettera b) del decreto legislativo n. 50 del 2016 in adesione alla tesi prospettata </w:t>
      </w:r>
      <w:r w:rsidRPr="005D4A03">
        <w:rPr>
          <w:rFonts w:eastAsia="Times New Roman" w:cstheme="minorHAnsi"/>
          <w:color w:val="3D3B39"/>
          <w:sz w:val="20"/>
          <w:szCs w:val="20"/>
          <w:lang w:eastAsia="it-IT"/>
        </w:rPr>
        <w:lastRenderedPageBreak/>
        <w:t xml:space="preserve">dall’ordinanza di rimessione, ciò consentirebbe all’interveniente di risultare vittoriosa nell’ambito di un giudizio instaurato </w:t>
      </w:r>
      <w:r w:rsidRPr="005D4A03">
        <w:rPr>
          <w:rFonts w:eastAsia="Times New Roman" w:cstheme="minorHAnsi"/>
          <w:i/>
          <w:iCs/>
          <w:color w:val="3D3B39"/>
          <w:sz w:val="20"/>
          <w:szCs w:val="20"/>
          <w:lang w:eastAsia="it-IT"/>
        </w:rPr>
        <w:t xml:space="preserve">inter </w:t>
      </w:r>
      <w:proofErr w:type="spellStart"/>
      <w:r w:rsidRPr="005D4A03">
        <w:rPr>
          <w:rFonts w:eastAsia="Times New Roman" w:cstheme="minorHAnsi"/>
          <w:i/>
          <w:iCs/>
          <w:color w:val="3D3B39"/>
          <w:sz w:val="20"/>
          <w:szCs w:val="20"/>
          <w:lang w:eastAsia="it-IT"/>
        </w:rPr>
        <w:t>alios</w:t>
      </w:r>
      <w:proofErr w:type="spellEnd"/>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 xml:space="preserve">2.2. Al riguardo il Collegio osserva in primo luogo (e conformemente a quanto già affermato con la sentenza di questa Adunanza plenaria 4 novembre 2016, n. 23) che la proposta domanda di intervento non è riconducibile ad alcuna delle figure cui tipicamente si riferisce l'istituto dell’intervento nel processo amministrativo, per come da ultimo disciplinato dall'articolo 28 del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xml:space="preserve">., nonché - per il grado di appello – dall’articolo 97 (ci si riferisce, in particolare: </w:t>
      </w:r>
      <w:r w:rsidRPr="005D4A03">
        <w:rPr>
          <w:rFonts w:eastAsia="Times New Roman" w:cstheme="minorHAnsi"/>
          <w:i/>
          <w:iCs/>
          <w:color w:val="3D3B39"/>
          <w:sz w:val="20"/>
          <w:szCs w:val="20"/>
          <w:lang w:eastAsia="it-IT"/>
        </w:rPr>
        <w:t>i</w:t>
      </w:r>
      <w:r w:rsidRPr="005D4A03">
        <w:rPr>
          <w:rFonts w:eastAsia="Times New Roman" w:cstheme="minorHAnsi"/>
          <w:color w:val="3D3B39"/>
          <w:sz w:val="20"/>
          <w:szCs w:val="20"/>
          <w:lang w:eastAsia="it-IT"/>
        </w:rPr>
        <w:t xml:space="preserve">) all'intervento volontario del controinteressato pretermesso - parte necessaria del processo non evocata in giudizio -; </w:t>
      </w:r>
      <w:r w:rsidRPr="005D4A03">
        <w:rPr>
          <w:rFonts w:eastAsia="Times New Roman" w:cstheme="minorHAnsi"/>
          <w:i/>
          <w:iCs/>
          <w:color w:val="3D3B39"/>
          <w:sz w:val="20"/>
          <w:szCs w:val="20"/>
          <w:lang w:eastAsia="it-IT"/>
        </w:rPr>
        <w:t>ii</w:t>
      </w:r>
      <w:r w:rsidRPr="005D4A03">
        <w:rPr>
          <w:rFonts w:eastAsia="Times New Roman" w:cstheme="minorHAnsi"/>
          <w:color w:val="3D3B39"/>
          <w:sz w:val="20"/>
          <w:szCs w:val="20"/>
          <w:lang w:eastAsia="it-IT"/>
        </w:rPr>
        <w:t xml:space="preserve">) all'intervento volontario della parte eventuale del processo - </w:t>
      </w:r>
      <w:r w:rsidRPr="005D4A03">
        <w:rPr>
          <w:rFonts w:eastAsia="Times New Roman" w:cstheme="minorHAnsi"/>
          <w:i/>
          <w:iCs/>
          <w:color w:val="3D3B39"/>
          <w:sz w:val="20"/>
          <w:szCs w:val="20"/>
          <w:lang w:eastAsia="it-IT"/>
        </w:rPr>
        <w:t xml:space="preserve">ad </w:t>
      </w:r>
      <w:proofErr w:type="spellStart"/>
      <w:r w:rsidRPr="005D4A03">
        <w:rPr>
          <w:rFonts w:eastAsia="Times New Roman" w:cstheme="minorHAnsi"/>
          <w:i/>
          <w:iCs/>
          <w:color w:val="3D3B39"/>
          <w:sz w:val="20"/>
          <w:szCs w:val="20"/>
          <w:lang w:eastAsia="it-IT"/>
        </w:rPr>
        <w:t>adiuvandum</w:t>
      </w:r>
      <w:proofErr w:type="spellEnd"/>
      <w:r w:rsidRPr="005D4A03">
        <w:rPr>
          <w:rFonts w:eastAsia="Times New Roman" w:cstheme="minorHAnsi"/>
          <w:color w:val="3D3B39"/>
          <w:sz w:val="20"/>
          <w:szCs w:val="20"/>
          <w:lang w:eastAsia="it-IT"/>
        </w:rPr>
        <w:t xml:space="preserve"> o </w:t>
      </w:r>
      <w:r w:rsidRPr="005D4A03">
        <w:rPr>
          <w:rFonts w:eastAsia="Times New Roman" w:cstheme="minorHAnsi"/>
          <w:i/>
          <w:iCs/>
          <w:color w:val="3D3B39"/>
          <w:sz w:val="20"/>
          <w:szCs w:val="20"/>
          <w:lang w:eastAsia="it-IT"/>
        </w:rPr>
        <w:t xml:space="preserve">ad </w:t>
      </w:r>
      <w:proofErr w:type="spellStart"/>
      <w:r w:rsidRPr="005D4A03">
        <w:rPr>
          <w:rFonts w:eastAsia="Times New Roman" w:cstheme="minorHAnsi"/>
          <w:i/>
          <w:iCs/>
          <w:color w:val="3D3B39"/>
          <w:sz w:val="20"/>
          <w:szCs w:val="20"/>
          <w:lang w:eastAsia="it-IT"/>
        </w:rPr>
        <w:t>opponendum</w:t>
      </w:r>
      <w:proofErr w:type="spellEnd"/>
      <w:r w:rsidRPr="005D4A03">
        <w:rPr>
          <w:rFonts w:eastAsia="Times New Roman" w:cstheme="minorHAnsi"/>
          <w:color w:val="3D3B39"/>
          <w:sz w:val="20"/>
          <w:szCs w:val="20"/>
          <w:lang w:eastAsia="it-IT"/>
        </w:rPr>
        <w:t xml:space="preserve"> -; </w:t>
      </w:r>
      <w:r w:rsidRPr="005D4A03">
        <w:rPr>
          <w:rFonts w:eastAsia="Times New Roman" w:cstheme="minorHAnsi"/>
          <w:i/>
          <w:iCs/>
          <w:color w:val="3D3B39"/>
          <w:sz w:val="20"/>
          <w:szCs w:val="20"/>
          <w:lang w:eastAsia="it-IT"/>
        </w:rPr>
        <w:t>iii</w:t>
      </w:r>
      <w:r w:rsidRPr="005D4A03">
        <w:rPr>
          <w:rFonts w:eastAsia="Times New Roman" w:cstheme="minorHAnsi"/>
          <w:color w:val="3D3B39"/>
          <w:sz w:val="20"/>
          <w:szCs w:val="20"/>
          <w:lang w:eastAsia="it-IT"/>
        </w:rPr>
        <w:t>) all'intervento per ordine del Giudice, anche su istanza di parte).</w:t>
      </w:r>
      <w:r w:rsidRPr="005D4A03">
        <w:rPr>
          <w:rFonts w:eastAsia="Times New Roman" w:cstheme="minorHAnsi"/>
          <w:color w:val="3D3B39"/>
          <w:sz w:val="20"/>
          <w:szCs w:val="20"/>
          <w:lang w:eastAsia="it-IT"/>
        </w:rPr>
        <w:br/>
        <w:t xml:space="preserve">In particolare (e come già rilevato con la richiamata sentenza n. 23 del 2016), non sembra che possa essere sufficiente a consentire l'istanza di intervento la sola circostanza per cui il proponente tale istanza sia parte in un giudizio in cui venga in rilievo una </w:t>
      </w:r>
      <w:r w:rsidRPr="005D4A03">
        <w:rPr>
          <w:rFonts w:eastAsia="Times New Roman" w:cstheme="minorHAnsi"/>
          <w:i/>
          <w:iCs/>
          <w:color w:val="3D3B39"/>
          <w:sz w:val="20"/>
          <w:szCs w:val="20"/>
          <w:lang w:eastAsia="it-IT"/>
        </w:rPr>
        <w:t xml:space="preserve">quaestio </w:t>
      </w:r>
      <w:proofErr w:type="spellStart"/>
      <w:r w:rsidRPr="005D4A03">
        <w:rPr>
          <w:rFonts w:eastAsia="Times New Roman" w:cstheme="minorHAnsi"/>
          <w:i/>
          <w:iCs/>
          <w:color w:val="3D3B39"/>
          <w:sz w:val="20"/>
          <w:szCs w:val="20"/>
          <w:lang w:eastAsia="it-IT"/>
        </w:rPr>
        <w:t>iuris</w:t>
      </w:r>
      <w:proofErr w:type="spellEnd"/>
      <w:r w:rsidRPr="005D4A03">
        <w:rPr>
          <w:rFonts w:eastAsia="Times New Roman" w:cstheme="minorHAnsi"/>
          <w:color w:val="3D3B39"/>
          <w:sz w:val="20"/>
          <w:szCs w:val="20"/>
          <w:lang w:eastAsia="it-IT"/>
        </w:rPr>
        <w:t xml:space="preserve"> analoga a quella divisata nell'ambito del giudizio principale.</w:t>
      </w:r>
      <w:r w:rsidRPr="005D4A03">
        <w:rPr>
          <w:rFonts w:eastAsia="Times New Roman" w:cstheme="minorHAnsi"/>
          <w:color w:val="3D3B39"/>
          <w:sz w:val="20"/>
          <w:szCs w:val="20"/>
          <w:lang w:eastAsia="it-IT"/>
        </w:rPr>
        <w:br/>
        <w:t xml:space="preserve">Osta infatti in modo radicale a tale riconoscimento l’obiettiva diversità di </w:t>
      </w:r>
      <w:proofErr w:type="spellStart"/>
      <w:r w:rsidRPr="005D4A03">
        <w:rPr>
          <w:rFonts w:eastAsia="Times New Roman" w:cstheme="minorHAnsi"/>
          <w:i/>
          <w:iCs/>
          <w:color w:val="3D3B39"/>
          <w:sz w:val="20"/>
          <w:szCs w:val="20"/>
          <w:lang w:eastAsia="it-IT"/>
        </w:rPr>
        <w:t>petitum</w:t>
      </w:r>
      <w:proofErr w:type="spellEnd"/>
      <w:r w:rsidRPr="005D4A03">
        <w:rPr>
          <w:rFonts w:eastAsia="Times New Roman" w:cstheme="minorHAnsi"/>
          <w:color w:val="3D3B39"/>
          <w:sz w:val="20"/>
          <w:szCs w:val="20"/>
          <w:lang w:eastAsia="it-IT"/>
        </w:rPr>
        <w:t xml:space="preserve"> e di </w:t>
      </w:r>
      <w:r w:rsidRPr="005D4A03">
        <w:rPr>
          <w:rFonts w:eastAsia="Times New Roman" w:cstheme="minorHAnsi"/>
          <w:i/>
          <w:iCs/>
          <w:color w:val="3D3B39"/>
          <w:sz w:val="20"/>
          <w:szCs w:val="20"/>
          <w:lang w:eastAsia="it-IT"/>
        </w:rPr>
        <w:t xml:space="preserve">causa </w:t>
      </w:r>
      <w:proofErr w:type="spellStart"/>
      <w:r w:rsidRPr="005D4A03">
        <w:rPr>
          <w:rFonts w:eastAsia="Times New Roman" w:cstheme="minorHAnsi"/>
          <w:i/>
          <w:iCs/>
          <w:color w:val="3D3B39"/>
          <w:sz w:val="20"/>
          <w:szCs w:val="20"/>
          <w:lang w:eastAsia="it-IT"/>
        </w:rPr>
        <w:t>petendi</w:t>
      </w:r>
      <w:proofErr w:type="spellEnd"/>
      <w:r w:rsidRPr="005D4A03">
        <w:rPr>
          <w:rFonts w:eastAsia="Times New Roman" w:cstheme="minorHAnsi"/>
          <w:color w:val="3D3B39"/>
          <w:sz w:val="20"/>
          <w:szCs w:val="20"/>
          <w:lang w:eastAsia="it-IT"/>
        </w:rPr>
        <w:t xml:space="preserve"> che distingue i due procedimenti, sì da non configurare in capo al richiedente uno specifico interesse all'intervento nel giudizio</w:t>
      </w:r>
      <w:r w:rsidRPr="005D4A03">
        <w:rPr>
          <w:rFonts w:eastAsia="Times New Roman" w:cstheme="minorHAnsi"/>
          <w:i/>
          <w:iCs/>
          <w:color w:val="3D3B39"/>
          <w:sz w:val="20"/>
          <w:szCs w:val="20"/>
          <w:lang w:eastAsia="it-IT"/>
        </w:rPr>
        <w:t xml:space="preserve"> ad </w:t>
      </w:r>
      <w:proofErr w:type="spellStart"/>
      <w:r w:rsidRPr="005D4A03">
        <w:rPr>
          <w:rFonts w:eastAsia="Times New Roman" w:cstheme="minorHAnsi"/>
          <w:i/>
          <w:iCs/>
          <w:color w:val="3D3B39"/>
          <w:sz w:val="20"/>
          <w:szCs w:val="20"/>
          <w:lang w:eastAsia="it-IT"/>
        </w:rPr>
        <w:t>quem</w:t>
      </w:r>
      <w:proofErr w:type="spellEnd"/>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 xml:space="preserve">Con la sentenza da ultimo citata (che può essere qui richiamata </w:t>
      </w:r>
      <w:r w:rsidRPr="005D4A03">
        <w:rPr>
          <w:rFonts w:eastAsia="Times New Roman" w:cstheme="minorHAnsi"/>
          <w:i/>
          <w:iCs/>
          <w:color w:val="3D3B39"/>
          <w:sz w:val="20"/>
          <w:szCs w:val="20"/>
          <w:lang w:eastAsia="it-IT"/>
        </w:rPr>
        <w:t xml:space="preserve">de </w:t>
      </w:r>
      <w:proofErr w:type="spellStart"/>
      <w:r w:rsidRPr="005D4A03">
        <w:rPr>
          <w:rFonts w:eastAsia="Times New Roman" w:cstheme="minorHAnsi"/>
          <w:i/>
          <w:iCs/>
          <w:color w:val="3D3B39"/>
          <w:sz w:val="20"/>
          <w:szCs w:val="20"/>
          <w:lang w:eastAsia="it-IT"/>
        </w:rPr>
        <w:t>extenso</w:t>
      </w:r>
      <w:proofErr w:type="spellEnd"/>
      <w:r w:rsidRPr="005D4A03">
        <w:rPr>
          <w:rFonts w:eastAsia="Times New Roman" w:cstheme="minorHAnsi"/>
          <w:color w:val="3D3B39"/>
          <w:sz w:val="20"/>
          <w:szCs w:val="20"/>
          <w:lang w:eastAsia="it-IT"/>
        </w:rPr>
        <w:t xml:space="preserve"> per la piena identità che caratterizza le due vicende sotto il profilo qui in esame) si è chiarito che “</w:t>
      </w:r>
      <w:r w:rsidRPr="005D4A03">
        <w:rPr>
          <w:rFonts w:eastAsia="Times New Roman" w:cstheme="minorHAnsi"/>
          <w:i/>
          <w:iCs/>
          <w:color w:val="3D3B39"/>
          <w:sz w:val="20"/>
          <w:szCs w:val="20"/>
          <w:lang w:eastAsia="it-IT"/>
        </w:rPr>
        <w:t xml:space="preserve">laddove si ammettesse la possibilità di spiegare l’intervento volontario a fronte della sola analogia fra le </w:t>
      </w:r>
      <w:proofErr w:type="spellStart"/>
      <w:r w:rsidRPr="005D4A03">
        <w:rPr>
          <w:rFonts w:eastAsia="Times New Roman" w:cstheme="minorHAnsi"/>
          <w:i/>
          <w:iCs/>
          <w:color w:val="3D3B39"/>
          <w:sz w:val="20"/>
          <w:szCs w:val="20"/>
          <w:lang w:eastAsia="it-IT"/>
        </w:rPr>
        <w:t>quaestiones</w:t>
      </w:r>
      <w:proofErr w:type="spellEnd"/>
      <w:r w:rsidRPr="005D4A03">
        <w:rPr>
          <w:rFonts w:eastAsia="Times New Roman" w:cstheme="minorHAnsi"/>
          <w:i/>
          <w:iCs/>
          <w:color w:val="3D3B39"/>
          <w:sz w:val="20"/>
          <w:szCs w:val="20"/>
          <w:lang w:eastAsia="it-IT"/>
        </w:rPr>
        <w:t xml:space="preserve"> </w:t>
      </w:r>
      <w:proofErr w:type="spellStart"/>
      <w:r w:rsidRPr="005D4A03">
        <w:rPr>
          <w:rFonts w:eastAsia="Times New Roman" w:cstheme="minorHAnsi"/>
          <w:i/>
          <w:iCs/>
          <w:color w:val="3D3B39"/>
          <w:sz w:val="20"/>
          <w:szCs w:val="20"/>
          <w:lang w:eastAsia="it-IT"/>
        </w:rPr>
        <w:t>iuris</w:t>
      </w:r>
      <w:proofErr w:type="spellEnd"/>
      <w:r w:rsidRPr="005D4A03">
        <w:rPr>
          <w:rFonts w:eastAsia="Times New Roman" w:cstheme="minorHAnsi"/>
          <w:i/>
          <w:iCs/>
          <w:color w:val="3D3B39"/>
          <w:sz w:val="20"/>
          <w:szCs w:val="20"/>
          <w:lang w:eastAsia="it-IT"/>
        </w:rPr>
        <w:t xml:space="preserve"> controverse nei due giudizi, si finirebbe per introdurre nel processo amministrativo una nozione di ‘interesse’ del tutto peculiare e svincolata dalla tipica valenza </w:t>
      </w:r>
      <w:proofErr w:type="spellStart"/>
      <w:r w:rsidRPr="005D4A03">
        <w:rPr>
          <w:rFonts w:eastAsia="Times New Roman" w:cstheme="minorHAnsi"/>
          <w:i/>
          <w:iCs/>
          <w:color w:val="3D3B39"/>
          <w:sz w:val="20"/>
          <w:szCs w:val="20"/>
          <w:lang w:eastAsia="it-IT"/>
        </w:rPr>
        <w:t>endoprocessuale</w:t>
      </w:r>
      <w:proofErr w:type="spellEnd"/>
      <w:r w:rsidRPr="005D4A03">
        <w:rPr>
          <w:rFonts w:eastAsia="Times New Roman" w:cstheme="minorHAnsi"/>
          <w:i/>
          <w:iCs/>
          <w:color w:val="3D3B39"/>
          <w:sz w:val="20"/>
          <w:szCs w:val="20"/>
          <w:lang w:eastAsia="it-IT"/>
        </w:rPr>
        <w:t xml:space="preserve"> connessa a tale nozione e potenzialmente foriera di iniziative anche emulative, in toto scisse dall'oggetto specifico del giudizio cui l'intervento si riferisce.</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r w:rsidRPr="005D4A03">
        <w:rPr>
          <w:rFonts w:eastAsia="Times New Roman" w:cstheme="minorHAnsi"/>
          <w:i/>
          <w:iCs/>
          <w:color w:val="3D3B39"/>
          <w:sz w:val="20"/>
          <w:szCs w:val="20"/>
          <w:lang w:eastAsia="it-IT"/>
        </w:rPr>
        <w:t xml:space="preserve">Non a caso, del resto, in base a un orientamento del tutto consolidato, nel processo amministrativo l'intervento ad </w:t>
      </w:r>
      <w:proofErr w:type="spellStart"/>
      <w:r w:rsidRPr="005D4A03">
        <w:rPr>
          <w:rFonts w:eastAsia="Times New Roman" w:cstheme="minorHAnsi"/>
          <w:i/>
          <w:iCs/>
          <w:color w:val="3D3B39"/>
          <w:sz w:val="20"/>
          <w:szCs w:val="20"/>
          <w:lang w:eastAsia="it-IT"/>
        </w:rPr>
        <w:t>adiuvandum</w:t>
      </w:r>
      <w:proofErr w:type="spellEnd"/>
      <w:r w:rsidRPr="005D4A03">
        <w:rPr>
          <w:rFonts w:eastAsia="Times New Roman" w:cstheme="minorHAnsi"/>
          <w:i/>
          <w:iCs/>
          <w:color w:val="3D3B39"/>
          <w:sz w:val="20"/>
          <w:szCs w:val="20"/>
          <w:lang w:eastAsia="it-IT"/>
        </w:rPr>
        <w:t xml:space="preserve"> o ad </w:t>
      </w:r>
      <w:proofErr w:type="spellStart"/>
      <w:r w:rsidRPr="005D4A03">
        <w:rPr>
          <w:rFonts w:eastAsia="Times New Roman" w:cstheme="minorHAnsi"/>
          <w:i/>
          <w:iCs/>
          <w:color w:val="3D3B39"/>
          <w:sz w:val="20"/>
          <w:szCs w:val="20"/>
          <w:lang w:eastAsia="it-IT"/>
        </w:rPr>
        <w:t>opponendum</w:t>
      </w:r>
      <w:proofErr w:type="spellEnd"/>
      <w:r w:rsidRPr="005D4A03">
        <w:rPr>
          <w:rFonts w:eastAsia="Times New Roman" w:cstheme="minorHAnsi"/>
          <w:i/>
          <w:iCs/>
          <w:color w:val="3D3B39"/>
          <w:sz w:val="20"/>
          <w:szCs w:val="20"/>
          <w:lang w:eastAsia="it-IT"/>
        </w:rPr>
        <w:t xml:space="preserve"> può essere proposto solo da un soggetto titolare di una posizione giuridica collegata o dipendente da quella del ricorrente in via principale (sul punto -ex </w:t>
      </w:r>
      <w:proofErr w:type="spellStart"/>
      <w:r w:rsidRPr="005D4A03">
        <w:rPr>
          <w:rFonts w:eastAsia="Times New Roman" w:cstheme="minorHAnsi"/>
          <w:i/>
          <w:iCs/>
          <w:color w:val="3D3B39"/>
          <w:sz w:val="20"/>
          <w:szCs w:val="20"/>
          <w:lang w:eastAsia="it-IT"/>
        </w:rPr>
        <w:t>multis</w:t>
      </w:r>
      <w:proofErr w:type="spellEnd"/>
      <w:r w:rsidRPr="005D4A03">
        <w:rPr>
          <w:rFonts w:eastAsia="Times New Roman" w:cstheme="minorHAnsi"/>
          <w:i/>
          <w:iCs/>
          <w:color w:val="3D3B39"/>
          <w:sz w:val="20"/>
          <w:szCs w:val="20"/>
          <w:lang w:eastAsia="it-IT"/>
        </w:rPr>
        <w:t xml:space="preserve"> -: </w:t>
      </w:r>
      <w:proofErr w:type="spellStart"/>
      <w:r w:rsidRPr="005D4A03">
        <w:rPr>
          <w:rFonts w:eastAsia="Times New Roman" w:cstheme="minorHAnsi"/>
          <w:i/>
          <w:iCs/>
          <w:color w:val="3D3B39"/>
          <w:sz w:val="20"/>
          <w:szCs w:val="20"/>
          <w:lang w:eastAsia="it-IT"/>
        </w:rPr>
        <w:t>Cons</w:t>
      </w:r>
      <w:proofErr w:type="spellEnd"/>
      <w:r w:rsidRPr="005D4A03">
        <w:rPr>
          <w:rFonts w:eastAsia="Times New Roman" w:cstheme="minorHAnsi"/>
          <w:i/>
          <w:iCs/>
          <w:color w:val="3D3B39"/>
          <w:sz w:val="20"/>
          <w:szCs w:val="20"/>
          <w:lang w:eastAsia="it-IT"/>
        </w:rPr>
        <w:t>. Stato, IV, 29 febbraio 2016, n. 853; id., V, 2 agosto 2011, n. 4557).</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r w:rsidRPr="005D4A03">
        <w:rPr>
          <w:rFonts w:eastAsia="Times New Roman" w:cstheme="minorHAnsi"/>
          <w:i/>
          <w:iCs/>
          <w:color w:val="3D3B39"/>
          <w:sz w:val="20"/>
          <w:szCs w:val="20"/>
          <w:lang w:eastAsia="it-IT"/>
        </w:rPr>
        <w:t>Si tratta, come è del tutto evidente, di un presupposto che non ricorre nel caso in esame, pacifica essendo in tale ipotesi la piena indipendenza (</w:t>
      </w:r>
      <w:proofErr w:type="spellStart"/>
      <w:r w:rsidRPr="005D4A03">
        <w:rPr>
          <w:rFonts w:eastAsia="Times New Roman" w:cstheme="minorHAnsi"/>
          <w:i/>
          <w:iCs/>
          <w:color w:val="3D3B39"/>
          <w:sz w:val="20"/>
          <w:szCs w:val="20"/>
          <w:lang w:eastAsia="it-IT"/>
        </w:rPr>
        <w:t>rectius</w:t>
      </w:r>
      <w:proofErr w:type="spellEnd"/>
      <w:r w:rsidRPr="005D4A03">
        <w:rPr>
          <w:rFonts w:eastAsia="Times New Roman" w:cstheme="minorHAnsi"/>
          <w:i/>
          <w:iCs/>
          <w:color w:val="3D3B39"/>
          <w:sz w:val="20"/>
          <w:szCs w:val="20"/>
          <w:lang w:eastAsia="it-IT"/>
        </w:rPr>
        <w:t>: la radicale indifferenza) fra la posizione della società che richiede l’intervento e l'appellante principale</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r w:rsidRPr="005D4A03">
        <w:rPr>
          <w:rFonts w:eastAsia="Times New Roman" w:cstheme="minorHAnsi"/>
          <w:i/>
          <w:iCs/>
          <w:color w:val="3D3B39"/>
          <w:sz w:val="20"/>
          <w:szCs w:val="20"/>
          <w:lang w:eastAsia="it-IT"/>
        </w:rPr>
        <w:t xml:space="preserve">(…) Si osserva poi che risulterebbe sistematicamente incongruo ammettere l'intervento volontario in ipotesi quale quella che qui ricorre in quanto si demanderebbe in tal modo a un Giudice diverso da quello naturale (art. 25, I, </w:t>
      </w:r>
      <w:proofErr w:type="spellStart"/>
      <w:r w:rsidRPr="005D4A03">
        <w:rPr>
          <w:rFonts w:eastAsia="Times New Roman" w:cstheme="minorHAnsi"/>
          <w:i/>
          <w:iCs/>
          <w:color w:val="3D3B39"/>
          <w:sz w:val="20"/>
          <w:szCs w:val="20"/>
          <w:lang w:eastAsia="it-IT"/>
        </w:rPr>
        <w:t>Cost</w:t>
      </w:r>
      <w:proofErr w:type="spellEnd"/>
      <w:r w:rsidRPr="005D4A03">
        <w:rPr>
          <w:rFonts w:eastAsia="Times New Roman" w:cstheme="minorHAnsi"/>
          <w:i/>
          <w:iCs/>
          <w:color w:val="3D3B39"/>
          <w:sz w:val="20"/>
          <w:szCs w:val="20"/>
          <w:lang w:eastAsia="it-IT"/>
        </w:rPr>
        <w:t xml:space="preserve">.) il compito di verificare in concreto l’effettività dell’interesse all’intervento (e, con essa, la concreta rilevanza della questione ai fini della definizione del giudizio a quo), in assenza di un adeguato quadro conoscitivo di carattere processuale (si pensi, solo a mo’ di esempio, alla necessaria verifica che il Giudice ad </w:t>
      </w:r>
      <w:proofErr w:type="spellStart"/>
      <w:r w:rsidRPr="005D4A03">
        <w:rPr>
          <w:rFonts w:eastAsia="Times New Roman" w:cstheme="minorHAnsi"/>
          <w:i/>
          <w:iCs/>
          <w:color w:val="3D3B39"/>
          <w:sz w:val="20"/>
          <w:szCs w:val="20"/>
          <w:lang w:eastAsia="it-IT"/>
        </w:rPr>
        <w:t>quem</w:t>
      </w:r>
      <w:proofErr w:type="spellEnd"/>
      <w:r w:rsidRPr="005D4A03">
        <w:rPr>
          <w:rFonts w:eastAsia="Times New Roman" w:cstheme="minorHAnsi"/>
          <w:i/>
          <w:iCs/>
          <w:color w:val="3D3B39"/>
          <w:sz w:val="20"/>
          <w:szCs w:val="20"/>
          <w:lang w:eastAsia="it-IT"/>
        </w:rPr>
        <w:t xml:space="preserve"> sarebbe chiamato a svolgere, ai fini del richiamato giudizio di rilevanza, circa l’effettiva sussistenza in capo all'interveniente dei presupposti e delle condizioni per la proposizione del giudizio a quo)</w:t>
      </w:r>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3. E’ quindi possibile esaminare il merito della questione devoluta a questa Adunanza plenaria</w:t>
      </w:r>
      <w:r w:rsidRPr="005D4A03">
        <w:rPr>
          <w:rFonts w:eastAsia="Times New Roman" w:cstheme="minorHAnsi"/>
          <w:color w:val="3D3B39"/>
          <w:sz w:val="20"/>
          <w:szCs w:val="20"/>
          <w:lang w:eastAsia="it-IT"/>
        </w:rPr>
        <w:br/>
        <w:t>Giova premettere alcune puntualizzazioni in fatto e alcune in diritto.</w:t>
      </w:r>
      <w:r w:rsidRPr="005D4A03">
        <w:rPr>
          <w:rFonts w:eastAsia="Times New Roman" w:cstheme="minorHAnsi"/>
          <w:color w:val="3D3B39"/>
          <w:sz w:val="20"/>
          <w:szCs w:val="20"/>
          <w:lang w:eastAsia="it-IT"/>
        </w:rPr>
        <w:br/>
        <w:t xml:space="preserve">3.1. In punto di fatto va qui premesso </w:t>
      </w:r>
      <w:r w:rsidRPr="005D4A03">
        <w:rPr>
          <w:rFonts w:eastAsia="Times New Roman" w:cstheme="minorHAnsi"/>
          <w:color w:val="3D3B39"/>
          <w:sz w:val="20"/>
          <w:szCs w:val="20"/>
          <w:lang w:eastAsia="it-IT"/>
        </w:rPr>
        <w:br/>
        <w:t xml:space="preserve">- che la gara all’origine dei fatti di causa è stata indetta da ANAS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quale soggetto attuatore di protezione civile per la realizzazione degli interventi di ripristino e messa in sicurezza della viabilità delle infrastrutture stradali di propria competenza (e di competenza di altri soggetti pubblici) a seguito degli eventi sismici che hanno colpito il territorio delle Regioni Lazio, Marche, Umbria e Abruzzo a partire dal 24 agosto 2016;</w:t>
      </w:r>
      <w:r w:rsidRPr="005D4A03">
        <w:rPr>
          <w:rFonts w:eastAsia="Times New Roman" w:cstheme="minorHAnsi"/>
          <w:color w:val="3D3B39"/>
          <w:sz w:val="20"/>
          <w:szCs w:val="20"/>
          <w:lang w:eastAsia="it-IT"/>
        </w:rPr>
        <w:br/>
        <w:t>- che la gara in questione aveva ad oggetto la realizzazione di lavori urgenti di ripristino sulla S.S. 685 (‘Tre Valli Umbre’) delle reti a contatto, di perlustrazione dei versanti e disgaggio ed installazione di barriere paramassi;</w:t>
      </w:r>
      <w:r w:rsidRPr="005D4A03">
        <w:rPr>
          <w:rFonts w:eastAsia="Times New Roman" w:cstheme="minorHAnsi"/>
          <w:color w:val="3D3B39"/>
          <w:sz w:val="20"/>
          <w:szCs w:val="20"/>
          <w:lang w:eastAsia="it-IT"/>
        </w:rPr>
        <w:br/>
        <w:t>- che la gara si è svolta attraverso una procedura aperta accelerata ai sensi del comma 3 dell’articolo 60 del decreto legislativo 18 aprile 2016, n. 50 (recante il ‘</w:t>
      </w:r>
      <w:r w:rsidRPr="005D4A03">
        <w:rPr>
          <w:rFonts w:eastAsia="Times New Roman" w:cstheme="minorHAnsi"/>
          <w:i/>
          <w:iCs/>
          <w:color w:val="3D3B39"/>
          <w:sz w:val="20"/>
          <w:szCs w:val="20"/>
          <w:lang w:eastAsia="it-IT"/>
        </w:rPr>
        <w:t>Codice dei contratti pubblici</w:t>
      </w:r>
      <w:r w:rsidRPr="005D4A03">
        <w:rPr>
          <w:rFonts w:eastAsia="Times New Roman" w:cstheme="minorHAnsi"/>
          <w:color w:val="3D3B39"/>
          <w:sz w:val="20"/>
          <w:szCs w:val="20"/>
          <w:lang w:eastAsia="it-IT"/>
        </w:rPr>
        <w:t>’), con il criterio del massimo ribasso;</w:t>
      </w:r>
      <w:r w:rsidRPr="005D4A03">
        <w:rPr>
          <w:rFonts w:eastAsia="Times New Roman" w:cstheme="minorHAnsi"/>
          <w:color w:val="3D3B39"/>
          <w:sz w:val="20"/>
          <w:szCs w:val="20"/>
          <w:lang w:eastAsia="it-IT"/>
        </w:rPr>
        <w:br/>
        <w:t xml:space="preserve">- che la </w:t>
      </w:r>
      <w:proofErr w:type="spellStart"/>
      <w:r w:rsidRPr="005D4A03">
        <w:rPr>
          <w:rFonts w:eastAsia="Times New Roman" w:cstheme="minorHAnsi"/>
          <w:i/>
          <w:iCs/>
          <w:color w:val="3D3B39"/>
          <w:sz w:val="20"/>
          <w:szCs w:val="20"/>
          <w:lang w:eastAsia="it-IT"/>
        </w:rPr>
        <w:t>lex</w:t>
      </w:r>
      <w:proofErr w:type="spellEnd"/>
      <w:r w:rsidRPr="005D4A03">
        <w:rPr>
          <w:rFonts w:eastAsia="Times New Roman" w:cstheme="minorHAnsi"/>
          <w:i/>
          <w:iCs/>
          <w:color w:val="3D3B39"/>
          <w:sz w:val="20"/>
          <w:szCs w:val="20"/>
          <w:lang w:eastAsia="it-IT"/>
        </w:rPr>
        <w:t xml:space="preserve"> </w:t>
      </w:r>
      <w:proofErr w:type="spellStart"/>
      <w:r w:rsidRPr="005D4A03">
        <w:rPr>
          <w:rFonts w:eastAsia="Times New Roman" w:cstheme="minorHAnsi"/>
          <w:i/>
          <w:iCs/>
          <w:color w:val="3D3B39"/>
          <w:sz w:val="20"/>
          <w:szCs w:val="20"/>
          <w:lang w:eastAsia="it-IT"/>
        </w:rPr>
        <w:t>specialis</w:t>
      </w:r>
      <w:proofErr w:type="spellEnd"/>
      <w:r w:rsidRPr="005D4A03">
        <w:rPr>
          <w:rFonts w:eastAsia="Times New Roman" w:cstheme="minorHAnsi"/>
          <w:color w:val="3D3B39"/>
          <w:sz w:val="20"/>
          <w:szCs w:val="20"/>
          <w:lang w:eastAsia="it-IT"/>
        </w:rPr>
        <w:t xml:space="preserve"> prevedeva l’esclusione automatica delle offerte anomale ai sensi del comma 8 dell’articolo 97 del richiamato decreto legislativo n. 50 del 2016 (tale previsione era possibile trattandosi di affidamento sotto la soglia di rilevanza comunitaria);</w:t>
      </w:r>
      <w:r w:rsidRPr="005D4A03">
        <w:rPr>
          <w:rFonts w:eastAsia="Times New Roman" w:cstheme="minorHAnsi"/>
          <w:color w:val="3D3B39"/>
          <w:sz w:val="20"/>
          <w:szCs w:val="20"/>
          <w:lang w:eastAsia="it-IT"/>
        </w:rPr>
        <w:br/>
        <w:t>- che, ai sensi del comma 2 dell’articolo 97 del ‘</w:t>
      </w:r>
      <w:r w:rsidRPr="005D4A03">
        <w:rPr>
          <w:rFonts w:eastAsia="Times New Roman" w:cstheme="minorHAnsi"/>
          <w:i/>
          <w:iCs/>
          <w:color w:val="3D3B39"/>
          <w:sz w:val="20"/>
          <w:szCs w:val="20"/>
          <w:lang w:eastAsia="it-IT"/>
        </w:rPr>
        <w:t>Codice dei contratti pubblici</w:t>
      </w:r>
      <w:r w:rsidRPr="005D4A03">
        <w:rPr>
          <w:rFonts w:eastAsia="Times New Roman" w:cstheme="minorHAnsi"/>
          <w:color w:val="3D3B39"/>
          <w:sz w:val="20"/>
          <w:szCs w:val="20"/>
          <w:lang w:eastAsia="it-IT"/>
        </w:rPr>
        <w:t xml:space="preserve">’ e al fine di rendere non predeterminabili dai candidati i parametri di riferimento della soglia di anomalia, la stazione appaltante procedeva a sorteggiare uno dei criteri di cui al medesimo comma 2. Veniva quindi sorteggiato il criterio di cui alla lettera b) (sul punto, v. </w:t>
      </w:r>
      <w:r w:rsidRPr="005D4A03">
        <w:rPr>
          <w:rFonts w:eastAsia="Times New Roman" w:cstheme="minorHAnsi"/>
          <w:i/>
          <w:iCs/>
          <w:color w:val="3D3B39"/>
          <w:sz w:val="20"/>
          <w:szCs w:val="20"/>
          <w:lang w:eastAsia="it-IT"/>
        </w:rPr>
        <w:t>infra</w:t>
      </w:r>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 xml:space="preserve">- che, ritenendo di applicare nel modo più corretto la richiamata previsione legislativa, la stazione appaltante procedeva: </w:t>
      </w:r>
      <w:r w:rsidRPr="005D4A03">
        <w:rPr>
          <w:rFonts w:eastAsia="Times New Roman" w:cstheme="minorHAnsi"/>
          <w:i/>
          <w:iCs/>
          <w:color w:val="3D3B39"/>
          <w:sz w:val="20"/>
          <w:szCs w:val="20"/>
          <w:lang w:eastAsia="it-IT"/>
        </w:rPr>
        <w:t>i</w:t>
      </w:r>
      <w:r w:rsidRPr="005D4A03">
        <w:rPr>
          <w:rFonts w:eastAsia="Times New Roman" w:cstheme="minorHAnsi"/>
          <w:color w:val="3D3B39"/>
          <w:sz w:val="20"/>
          <w:szCs w:val="20"/>
          <w:lang w:eastAsia="it-IT"/>
        </w:rPr>
        <w:t xml:space="preserve">) ad ordinare le offerte ammesse ponendole in ordine crescente di ribasso offerto; </w:t>
      </w:r>
      <w:r w:rsidRPr="005D4A03">
        <w:rPr>
          <w:rFonts w:eastAsia="Times New Roman" w:cstheme="minorHAnsi"/>
          <w:i/>
          <w:iCs/>
          <w:color w:val="3D3B39"/>
          <w:sz w:val="20"/>
          <w:szCs w:val="20"/>
          <w:lang w:eastAsia="it-IT"/>
        </w:rPr>
        <w:t>ii</w:t>
      </w:r>
      <w:r w:rsidRPr="005D4A03">
        <w:rPr>
          <w:rFonts w:eastAsia="Times New Roman" w:cstheme="minorHAnsi"/>
          <w:color w:val="3D3B39"/>
          <w:sz w:val="20"/>
          <w:szCs w:val="20"/>
          <w:lang w:eastAsia="it-IT"/>
        </w:rPr>
        <w:t>) ad escludere (</w:t>
      </w:r>
      <w:proofErr w:type="spellStart"/>
      <w:r w:rsidRPr="005D4A03">
        <w:rPr>
          <w:rFonts w:eastAsia="Times New Roman" w:cstheme="minorHAnsi"/>
          <w:i/>
          <w:iCs/>
          <w:color w:val="3D3B39"/>
          <w:sz w:val="20"/>
          <w:szCs w:val="20"/>
          <w:lang w:eastAsia="it-IT"/>
        </w:rPr>
        <w:t>rectius</w:t>
      </w:r>
      <w:proofErr w:type="spellEnd"/>
      <w:r w:rsidRPr="005D4A03">
        <w:rPr>
          <w:rFonts w:eastAsia="Times New Roman" w:cstheme="minorHAnsi"/>
          <w:color w:val="3D3B39"/>
          <w:sz w:val="20"/>
          <w:szCs w:val="20"/>
          <w:lang w:eastAsia="it-IT"/>
        </w:rPr>
        <w:t xml:space="preserve">: ad accantonare) il venti per cento delle offerte caratterizzate – rispettivamente – dal maggiore e dal minore ribasso (c.d.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 xml:space="preserve">); </w:t>
      </w:r>
      <w:r w:rsidRPr="005D4A03">
        <w:rPr>
          <w:rFonts w:eastAsia="Times New Roman" w:cstheme="minorHAnsi"/>
          <w:i/>
          <w:iCs/>
          <w:color w:val="3D3B39"/>
          <w:sz w:val="20"/>
          <w:szCs w:val="20"/>
          <w:lang w:eastAsia="it-IT"/>
        </w:rPr>
        <w:t>iii</w:t>
      </w:r>
      <w:r w:rsidRPr="005D4A03">
        <w:rPr>
          <w:rFonts w:eastAsia="Times New Roman" w:cstheme="minorHAnsi"/>
          <w:color w:val="3D3B39"/>
          <w:sz w:val="20"/>
          <w:szCs w:val="20"/>
          <w:lang w:eastAsia="it-IT"/>
        </w:rPr>
        <w:t xml:space="preserve">) a calcolare la media aritmetica dei ribassi delle offerte ammesse residuate dopo il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 xml:space="preserve">; </w:t>
      </w:r>
      <w:r w:rsidRPr="005D4A03">
        <w:rPr>
          <w:rFonts w:eastAsia="Times New Roman" w:cstheme="minorHAnsi"/>
          <w:i/>
          <w:iCs/>
          <w:color w:val="3D3B39"/>
          <w:sz w:val="20"/>
          <w:szCs w:val="20"/>
          <w:lang w:eastAsia="it-IT"/>
        </w:rPr>
        <w:t>iv</w:t>
      </w:r>
      <w:r w:rsidRPr="005D4A03">
        <w:rPr>
          <w:rFonts w:eastAsia="Times New Roman" w:cstheme="minorHAnsi"/>
          <w:color w:val="3D3B39"/>
          <w:sz w:val="20"/>
          <w:szCs w:val="20"/>
          <w:lang w:eastAsia="it-IT"/>
        </w:rPr>
        <w:t xml:space="preserve">) a calcolare la somma dei ribassi di tutti i concorrenti ammessi; </w:t>
      </w:r>
      <w:r w:rsidRPr="005D4A03">
        <w:rPr>
          <w:rFonts w:eastAsia="Times New Roman" w:cstheme="minorHAnsi"/>
          <w:i/>
          <w:iCs/>
          <w:color w:val="3D3B39"/>
          <w:sz w:val="20"/>
          <w:szCs w:val="20"/>
          <w:lang w:eastAsia="it-IT"/>
        </w:rPr>
        <w:t>v</w:t>
      </w:r>
      <w:r w:rsidRPr="005D4A03">
        <w:rPr>
          <w:rFonts w:eastAsia="Times New Roman" w:cstheme="minorHAnsi"/>
          <w:color w:val="3D3B39"/>
          <w:sz w:val="20"/>
          <w:szCs w:val="20"/>
          <w:lang w:eastAsia="it-IT"/>
        </w:rPr>
        <w:t xml:space="preserve">) a lasciare invariata la media </w:t>
      </w:r>
      <w:r w:rsidRPr="005D4A03">
        <w:rPr>
          <w:rFonts w:eastAsia="Times New Roman" w:cstheme="minorHAnsi"/>
          <w:i/>
          <w:iCs/>
          <w:color w:val="3D3B39"/>
          <w:sz w:val="20"/>
          <w:szCs w:val="20"/>
          <w:lang w:eastAsia="it-IT"/>
        </w:rPr>
        <w:t>sub</w:t>
      </w:r>
      <w:r w:rsidRPr="005D4A03">
        <w:rPr>
          <w:rFonts w:eastAsia="Times New Roman" w:cstheme="minorHAnsi"/>
          <w:color w:val="3D3B39"/>
          <w:sz w:val="20"/>
          <w:szCs w:val="20"/>
          <w:lang w:eastAsia="it-IT"/>
        </w:rPr>
        <w:t xml:space="preserve"> iii in quanto la somma dei ribassi sub iv presentava la prima cifra dopo la virgola dispari; </w:t>
      </w:r>
      <w:r w:rsidRPr="005D4A03">
        <w:rPr>
          <w:rFonts w:eastAsia="Times New Roman" w:cstheme="minorHAnsi"/>
          <w:i/>
          <w:iCs/>
          <w:color w:val="3D3B39"/>
          <w:sz w:val="20"/>
          <w:szCs w:val="20"/>
          <w:lang w:eastAsia="it-IT"/>
        </w:rPr>
        <w:t>vi</w:t>
      </w:r>
      <w:r w:rsidRPr="005D4A03">
        <w:rPr>
          <w:rFonts w:eastAsia="Times New Roman" w:cstheme="minorHAnsi"/>
          <w:color w:val="3D3B39"/>
          <w:sz w:val="20"/>
          <w:szCs w:val="20"/>
          <w:lang w:eastAsia="it-IT"/>
        </w:rPr>
        <w:t xml:space="preserve">) a fissare, quindi, la soglia di </w:t>
      </w:r>
      <w:r w:rsidRPr="005D4A03">
        <w:rPr>
          <w:rFonts w:eastAsia="Times New Roman" w:cstheme="minorHAnsi"/>
          <w:color w:val="3D3B39"/>
          <w:sz w:val="20"/>
          <w:szCs w:val="20"/>
          <w:lang w:eastAsia="it-IT"/>
        </w:rPr>
        <w:lastRenderedPageBreak/>
        <w:t xml:space="preserve">anomalia nella percentuale già individuata </w:t>
      </w:r>
      <w:r w:rsidRPr="005D4A03">
        <w:rPr>
          <w:rFonts w:eastAsia="Times New Roman" w:cstheme="minorHAnsi"/>
          <w:i/>
          <w:iCs/>
          <w:color w:val="3D3B39"/>
          <w:sz w:val="20"/>
          <w:szCs w:val="20"/>
          <w:lang w:eastAsia="it-IT"/>
        </w:rPr>
        <w:t>sub</w:t>
      </w:r>
      <w:r w:rsidRPr="005D4A03">
        <w:rPr>
          <w:rFonts w:eastAsia="Times New Roman" w:cstheme="minorHAnsi"/>
          <w:color w:val="3D3B39"/>
          <w:sz w:val="20"/>
          <w:szCs w:val="20"/>
          <w:lang w:eastAsia="it-IT"/>
        </w:rPr>
        <w:t xml:space="preserve"> iii);</w:t>
      </w:r>
      <w:r w:rsidRPr="005D4A03">
        <w:rPr>
          <w:rFonts w:eastAsia="Times New Roman" w:cstheme="minorHAnsi"/>
          <w:i/>
          <w:iCs/>
          <w:color w:val="3D3B39"/>
          <w:sz w:val="20"/>
          <w:szCs w:val="20"/>
          <w:lang w:eastAsia="it-IT"/>
        </w:rPr>
        <w:t xml:space="preserve"> vi</w:t>
      </w:r>
      <w:r w:rsidRPr="005D4A03">
        <w:rPr>
          <w:rFonts w:eastAsia="Times New Roman" w:cstheme="minorHAnsi"/>
          <w:color w:val="3D3B39"/>
          <w:sz w:val="20"/>
          <w:szCs w:val="20"/>
          <w:lang w:eastAsia="it-IT"/>
        </w:rPr>
        <w:t xml:space="preserve">) ad escludere i via automatica dalla procedura tutti i concorrenti (fra cui l’appellante) che presentassero un ribasso percentuale superiore alla soglia di anomalia; </w:t>
      </w:r>
      <w:r w:rsidRPr="005D4A03">
        <w:rPr>
          <w:rFonts w:eastAsia="Times New Roman" w:cstheme="minorHAnsi"/>
          <w:i/>
          <w:iCs/>
          <w:color w:val="3D3B39"/>
          <w:sz w:val="20"/>
          <w:szCs w:val="20"/>
          <w:lang w:eastAsia="it-IT"/>
        </w:rPr>
        <w:t>vii</w:t>
      </w:r>
      <w:r w:rsidRPr="005D4A03">
        <w:rPr>
          <w:rFonts w:eastAsia="Times New Roman" w:cstheme="minorHAnsi"/>
          <w:color w:val="3D3B39"/>
          <w:sz w:val="20"/>
          <w:szCs w:val="20"/>
          <w:lang w:eastAsia="it-IT"/>
        </w:rPr>
        <w:t xml:space="preserve">) ad aggiudicare la gara all’A.T.I. </w:t>
      </w:r>
      <w:proofErr w:type="spellStart"/>
      <w:r w:rsidRPr="005D4A03">
        <w:rPr>
          <w:rFonts w:eastAsia="Times New Roman" w:cstheme="minorHAnsi"/>
          <w:color w:val="3D3B39"/>
          <w:sz w:val="20"/>
          <w:szCs w:val="20"/>
          <w:lang w:eastAsia="it-IT"/>
        </w:rPr>
        <w:t>Preve</w:t>
      </w:r>
      <w:proofErr w:type="spellEnd"/>
      <w:r w:rsidRPr="005D4A03">
        <w:rPr>
          <w:rFonts w:eastAsia="Times New Roman" w:cstheme="minorHAnsi"/>
          <w:color w:val="3D3B39"/>
          <w:sz w:val="20"/>
          <w:szCs w:val="20"/>
          <w:lang w:eastAsia="it-IT"/>
        </w:rPr>
        <w:t>/</w:t>
      </w:r>
      <w:proofErr w:type="spellStart"/>
      <w:r w:rsidRPr="005D4A03">
        <w:rPr>
          <w:rFonts w:eastAsia="Times New Roman" w:cstheme="minorHAnsi"/>
          <w:color w:val="3D3B39"/>
          <w:sz w:val="20"/>
          <w:szCs w:val="20"/>
          <w:lang w:eastAsia="it-IT"/>
        </w:rPr>
        <w:t>Ciabocco</w:t>
      </w:r>
      <w:proofErr w:type="spellEnd"/>
      <w:r w:rsidRPr="005D4A03">
        <w:rPr>
          <w:rFonts w:eastAsia="Times New Roman" w:cstheme="minorHAnsi"/>
          <w:color w:val="3D3B39"/>
          <w:sz w:val="20"/>
          <w:szCs w:val="20"/>
          <w:lang w:eastAsia="it-IT"/>
        </w:rPr>
        <w:t>, che aveva proposto in gara la prima delle offerte non anomale</w:t>
      </w:r>
      <w:r w:rsidRPr="005D4A03">
        <w:rPr>
          <w:rFonts w:eastAsia="Times New Roman" w:cstheme="minorHAnsi"/>
          <w:color w:val="3D3B39"/>
          <w:sz w:val="20"/>
          <w:szCs w:val="20"/>
          <w:lang w:eastAsia="it-IT"/>
        </w:rPr>
        <w:br/>
        <w:t>3.2. In punto di diritto va qui osservato che, a seguito delle modifiche apportate dal decreto legislativo 19 aprile 2017, n. 56 (recante ‘</w:t>
      </w:r>
      <w:r w:rsidRPr="005D4A03">
        <w:rPr>
          <w:rFonts w:eastAsia="Times New Roman" w:cstheme="minorHAnsi"/>
          <w:i/>
          <w:iCs/>
          <w:color w:val="3D3B39"/>
          <w:sz w:val="20"/>
          <w:szCs w:val="20"/>
          <w:lang w:eastAsia="it-IT"/>
        </w:rPr>
        <w:t>Disposizioni integrative e correttive al decreto legislativo 18 aprile 2016, n. 50</w:t>
      </w:r>
      <w:r w:rsidRPr="005D4A03">
        <w:rPr>
          <w:rFonts w:eastAsia="Times New Roman" w:cstheme="minorHAnsi"/>
          <w:color w:val="3D3B39"/>
          <w:sz w:val="20"/>
          <w:szCs w:val="20"/>
          <w:lang w:eastAsia="it-IT"/>
        </w:rPr>
        <w:t>’), il comma 2 dell’articolo 97 del Codice (articolo rubricato ‘</w:t>
      </w:r>
      <w:r w:rsidRPr="005D4A03">
        <w:rPr>
          <w:rFonts w:eastAsia="Times New Roman" w:cstheme="minorHAnsi"/>
          <w:i/>
          <w:iCs/>
          <w:color w:val="3D3B39"/>
          <w:sz w:val="20"/>
          <w:szCs w:val="20"/>
          <w:lang w:eastAsia="it-IT"/>
        </w:rPr>
        <w:t>Offerte anormalmente basse</w:t>
      </w:r>
      <w:r w:rsidRPr="005D4A03">
        <w:rPr>
          <w:rFonts w:eastAsia="Times New Roman" w:cstheme="minorHAnsi"/>
          <w:color w:val="3D3B39"/>
          <w:sz w:val="20"/>
          <w:szCs w:val="20"/>
          <w:lang w:eastAsia="it-IT"/>
        </w:rPr>
        <w:t>’) stabilisce che: “</w:t>
      </w:r>
      <w:r w:rsidRPr="005D4A03">
        <w:rPr>
          <w:rFonts w:eastAsia="Times New Roman" w:cstheme="minorHAnsi"/>
          <w:i/>
          <w:iCs/>
          <w:color w:val="3D3B39"/>
          <w:sz w:val="20"/>
          <w:szCs w:val="20"/>
          <w:lang w:eastAsia="it-IT"/>
        </w:rPr>
        <w:t>Quando il criterio di aggiudicazione è quello del prezzo più basso la congruità delle offerte è valutata sulle offerte che presentano un ribasso pari o superiore ad una soglia di anomalia determinata; al fine di non rendere predeterminabili dai candidati i parametri di riferimento per il calcolo della soglia, il RUP o la commissione giudicatrice procedono al sorteggio, in sede di gara, di uno dei seguenti metodi: (…)</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r w:rsidRPr="005D4A03">
        <w:rPr>
          <w:rFonts w:eastAsia="Times New Roman" w:cstheme="minorHAnsi"/>
          <w:i/>
          <w:iCs/>
          <w:color w:val="3D3B39"/>
          <w:sz w:val="20"/>
          <w:szCs w:val="20"/>
          <w:lang w:eastAsia="it-IT"/>
        </w:rPr>
        <w:t>b) media aritmetica dei ribassi percentuali di tutte le offerte ammesse, con esclusione del venti per cento rispettivamente delle offerte di maggior ribasso e di quelle di minor ribasso arrotondato all'unità superiore, tenuto conto che se la prima cifra dopo la virgola, della somma dei ribassi offerti dai concorrenti ammessi è pari ovvero uguale a zero la media resta invariata; qualora invece la prima cifra dopo la virgola, della somma dei ribassi offerti dai concorrenti ammessi è dispari, la media viene decrementata percentualmente di un valore pari a tale cifra</w:t>
      </w:r>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Il c.d. ‘decreto correttivo’ del 2017 ha apportato una duplice modifica alle disposizioni che qui vengono in rilievo:</w:t>
      </w:r>
      <w:r w:rsidRPr="005D4A03">
        <w:rPr>
          <w:rFonts w:eastAsia="Times New Roman" w:cstheme="minorHAnsi"/>
          <w:color w:val="3D3B39"/>
          <w:sz w:val="20"/>
          <w:szCs w:val="20"/>
          <w:lang w:eastAsia="it-IT"/>
        </w:rPr>
        <w:br/>
        <w:t>- in primo luogo, ha chiarito che la determinazione della soglia di anomalia secondo le previsioni in parola e le conseguenti operazioni di sorteggio sono operate dal RUP ovvero dalla commissione giudicatrice;</w:t>
      </w:r>
      <w:r w:rsidRPr="005D4A03">
        <w:rPr>
          <w:rFonts w:eastAsia="Times New Roman" w:cstheme="minorHAnsi"/>
          <w:color w:val="3D3B39"/>
          <w:sz w:val="20"/>
          <w:szCs w:val="20"/>
          <w:lang w:eastAsia="it-IT"/>
        </w:rPr>
        <w:br/>
        <w:t xml:space="preserve">- in secondo luogo, ha chiarito che il c.d.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 xml:space="preserve"> finalizzato alla determinazione della media da assumere quale base di calcolo per la fissazione della soglia di anomalia debba interessare il venti per cento delle offerte ammesse – rispettivamente - con il maggiore e il minore ribasso, con arrotondamento all’unità superiore (nella precedente formulazione veniva semplicemente sancita una “</w:t>
      </w:r>
      <w:r w:rsidRPr="005D4A03">
        <w:rPr>
          <w:rFonts w:eastAsia="Times New Roman" w:cstheme="minorHAnsi"/>
          <w:i/>
          <w:iCs/>
          <w:color w:val="3D3B39"/>
          <w:sz w:val="20"/>
          <w:szCs w:val="20"/>
          <w:lang w:eastAsia="it-IT"/>
        </w:rPr>
        <w:t>esclusione del 10%</w:t>
      </w:r>
      <w:r w:rsidRPr="005D4A03">
        <w:rPr>
          <w:rFonts w:eastAsia="Times New Roman" w:cstheme="minorHAnsi"/>
          <w:color w:val="3D3B39"/>
          <w:sz w:val="20"/>
          <w:szCs w:val="20"/>
          <w:lang w:eastAsia="it-IT"/>
        </w:rPr>
        <w:t>”, senza ulteriori indicazioni).</w:t>
      </w:r>
      <w:r w:rsidRPr="005D4A03">
        <w:rPr>
          <w:rFonts w:eastAsia="Times New Roman" w:cstheme="minorHAnsi"/>
          <w:color w:val="3D3B39"/>
          <w:sz w:val="20"/>
          <w:szCs w:val="20"/>
          <w:lang w:eastAsia="it-IT"/>
        </w:rPr>
        <w:br/>
        <w:t>Sempre dal punto di vista normativo va qui chiarito che il criterio di determinazione della soglia di anomalia di cui all’articolo 97, comma 2, lettera b) del nuovo ‘</w:t>
      </w:r>
      <w:r w:rsidRPr="005D4A03">
        <w:rPr>
          <w:rFonts w:eastAsia="Times New Roman" w:cstheme="minorHAnsi"/>
          <w:i/>
          <w:iCs/>
          <w:color w:val="3D3B39"/>
          <w:sz w:val="20"/>
          <w:szCs w:val="20"/>
          <w:lang w:eastAsia="it-IT"/>
        </w:rPr>
        <w:t>Codice dei contratti</w:t>
      </w:r>
      <w:r w:rsidRPr="005D4A03">
        <w:rPr>
          <w:rFonts w:eastAsia="Times New Roman" w:cstheme="minorHAnsi"/>
          <w:color w:val="3D3B39"/>
          <w:sz w:val="20"/>
          <w:szCs w:val="20"/>
          <w:lang w:eastAsia="it-IT"/>
        </w:rPr>
        <w:t>’, pur presentando alcuni punti di contatto con il pregresso criterio determinativo di cui al comma 1 dell’articolo 86 del decreto legislativo 12 aprile 2006, n 163, presenta altresì caratteri di indubbia novità, sì da rendere non utilizzabili (almeno, non in modo integrale) le acquisizioni conseguite nella vigenza di tale decreto legislativo.</w:t>
      </w:r>
      <w:r w:rsidRPr="005D4A03">
        <w:rPr>
          <w:rFonts w:eastAsia="Times New Roman" w:cstheme="minorHAnsi"/>
          <w:color w:val="3D3B39"/>
          <w:sz w:val="20"/>
          <w:szCs w:val="20"/>
          <w:lang w:eastAsia="it-IT"/>
        </w:rPr>
        <w:br/>
        <w:t>Come è noto, infatti, il comma 1 dell’articolo 86, cit. stabiliva che, nel caso di aggiudicazione con il criterio del prezzo più basso, la verifica di anomalia avrebbe riguardato le offerte che presentassero “</w:t>
      </w:r>
      <w:r w:rsidRPr="005D4A03">
        <w:rPr>
          <w:rFonts w:eastAsia="Times New Roman" w:cstheme="minorHAnsi"/>
          <w:i/>
          <w:iCs/>
          <w:color w:val="3D3B39"/>
          <w:sz w:val="20"/>
          <w:szCs w:val="20"/>
          <w:lang w:eastAsia="it-IT"/>
        </w:rPr>
        <w:t>un ribasso pari o superiore alla media aritmetica dei ribassi percentuali di tutte le offerte ammesse, con esclusione del dieci per cento, arrotondato all’unità superiore, rispettivamente delle offerte di maggior ribasso e di quelle di minor ribasso, incrementata dello scarto medio aritmetico dei ribassi percentuali che superano la predetta media</w:t>
      </w:r>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Pertanto, per ciò che riguarda la determinazione della soglia di anomalia nel caso di aggiudicazione con il criterio del prezzo più basso, le principali novità che qui mette conto di segnalare rispetto all’attuale comma 2 dell’articolo 97 sono in particolare due.</w:t>
      </w:r>
      <w:r w:rsidRPr="005D4A03">
        <w:rPr>
          <w:rFonts w:eastAsia="Times New Roman" w:cstheme="minorHAnsi"/>
          <w:color w:val="3D3B39"/>
          <w:sz w:val="20"/>
          <w:szCs w:val="20"/>
          <w:lang w:eastAsia="it-IT"/>
        </w:rPr>
        <w:br/>
        <w:t xml:space="preserve">In primo luogo si segnala che, mentre nel ‘Codice’ del 2006 la determinazione della soglia di anomalia veniva affidata a un criterio matematico sostanzialmente univoco (sia pure temperato dal c.d.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 xml:space="preserve"> e dal meccanismo dell’incremento dello scarto medio aritmetico); al contrario il ‘Codice’ del 2016 ha affidato il compito di rendere non predeterminabile la richiamata soglia al meccanismo del sorteggio fra i diversi possibili metodi di computo di cui all’articolo 97.</w:t>
      </w:r>
      <w:r w:rsidRPr="005D4A03">
        <w:rPr>
          <w:rFonts w:eastAsia="Times New Roman" w:cstheme="minorHAnsi"/>
          <w:color w:val="3D3B39"/>
          <w:sz w:val="20"/>
          <w:szCs w:val="20"/>
          <w:lang w:eastAsia="it-IT"/>
        </w:rPr>
        <w:br/>
        <w:t xml:space="preserve">In secondo luogo si segnala che, mentre nel ‘Codice’ del 2006 era palese che le uniche offerte da prendere in considerazione ai fini del computo della media aritmetica (e quindi, della soglia di anomalia) fossero quelle ‘ammesse’, ma al netto del c.d.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 al contrario il nuovo ‘Codice’ non fornisce immediata chiarezza circa le offerte da prendere in considerazione ai fini delle operazioni di computo di cui al più volte richiamato articolo 97, comma 2, lettera b).</w:t>
      </w:r>
      <w:r w:rsidRPr="005D4A03">
        <w:rPr>
          <w:rFonts w:eastAsia="Times New Roman" w:cstheme="minorHAnsi"/>
          <w:color w:val="3D3B39"/>
          <w:sz w:val="20"/>
          <w:szCs w:val="20"/>
          <w:lang w:eastAsia="it-IT"/>
        </w:rPr>
        <w:br/>
        <w:t>Ed infatti:</w:t>
      </w:r>
      <w:r w:rsidRPr="005D4A03">
        <w:rPr>
          <w:rFonts w:eastAsia="Times New Roman" w:cstheme="minorHAnsi"/>
          <w:color w:val="3D3B39"/>
          <w:sz w:val="20"/>
          <w:szCs w:val="20"/>
          <w:lang w:eastAsia="it-IT"/>
        </w:rPr>
        <w:br/>
        <w:t xml:space="preserve">- mentre (ai fini della fissazione della prima media aritmetica dei ribassi) è del tutto chiaro che essa debba essere determinata prendendo in considerazione le sole offerte ammesse a seguito del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 al contrario, non è del tutto chiaro se (ai fini dell’applicazione del c.d. ‘fattore di correzione’ di cui al comma 2, lettera b) la locuzione “</w:t>
      </w:r>
      <w:r w:rsidRPr="005D4A03">
        <w:rPr>
          <w:rFonts w:eastAsia="Times New Roman" w:cstheme="minorHAnsi"/>
          <w:i/>
          <w:iCs/>
          <w:color w:val="3D3B39"/>
          <w:sz w:val="20"/>
          <w:szCs w:val="20"/>
          <w:lang w:eastAsia="it-IT"/>
        </w:rPr>
        <w:t>somma dei ribassi offerti dai concorrenti ammessi</w:t>
      </w:r>
      <w:r w:rsidRPr="005D4A03">
        <w:rPr>
          <w:rFonts w:eastAsia="Times New Roman" w:cstheme="minorHAnsi"/>
          <w:color w:val="3D3B39"/>
          <w:sz w:val="20"/>
          <w:szCs w:val="20"/>
          <w:lang w:eastAsia="it-IT"/>
        </w:rPr>
        <w:t xml:space="preserve">” debba essere riferita a tutti i concorrenti ammessi in gara, ovvero ai soli concorrenti residuati all’esito del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 xml:space="preserve"> di cui alla medesima lettera b).</w:t>
      </w:r>
      <w:r w:rsidRPr="005D4A03">
        <w:rPr>
          <w:rFonts w:eastAsia="Times New Roman" w:cstheme="minorHAnsi"/>
          <w:color w:val="3D3B39"/>
          <w:sz w:val="20"/>
          <w:szCs w:val="20"/>
          <w:lang w:eastAsia="it-IT"/>
        </w:rPr>
        <w:br/>
        <w:t>4. La questione interpretativa appena richiamata risulta rilevante ai fini della definizione della presente controversia in quanto (almeno nella prospettazione dell’appellante)</w:t>
      </w:r>
      <w:r w:rsidRPr="005D4A03">
        <w:rPr>
          <w:rFonts w:eastAsia="Times New Roman" w:cstheme="minorHAnsi"/>
          <w:color w:val="3D3B39"/>
          <w:sz w:val="20"/>
          <w:szCs w:val="20"/>
          <w:lang w:eastAsia="it-IT"/>
        </w:rPr>
        <w:br/>
        <w:t>- laddove si opti (come ha fatto l’appellata ANAS) per l’interpretazione secondo cui la locuzione “</w:t>
      </w:r>
      <w:r w:rsidRPr="005D4A03">
        <w:rPr>
          <w:rFonts w:eastAsia="Times New Roman" w:cstheme="minorHAnsi"/>
          <w:i/>
          <w:iCs/>
          <w:color w:val="3D3B39"/>
          <w:sz w:val="20"/>
          <w:szCs w:val="20"/>
          <w:lang w:eastAsia="it-IT"/>
        </w:rPr>
        <w:t>somma dei ribassi offerti dai concorrenti ammessi</w:t>
      </w:r>
      <w:r w:rsidRPr="005D4A03">
        <w:rPr>
          <w:rFonts w:eastAsia="Times New Roman" w:cstheme="minorHAnsi"/>
          <w:color w:val="3D3B39"/>
          <w:sz w:val="20"/>
          <w:szCs w:val="20"/>
          <w:lang w:eastAsia="it-IT"/>
        </w:rPr>
        <w:t xml:space="preserve">” include i soli concorrenti che residuano al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 allora la soglia di anomalia resterebbe fissata nella misura del 29,310 per cento (con la conseguenza di determinare l’esclusione automatica dell’appellante, il cui ribasso percentuale offerto era del 29,497 per cento);</w:t>
      </w:r>
      <w:r w:rsidRPr="005D4A03">
        <w:rPr>
          <w:rFonts w:eastAsia="Times New Roman" w:cstheme="minorHAnsi"/>
          <w:color w:val="3D3B39"/>
          <w:sz w:val="20"/>
          <w:szCs w:val="20"/>
          <w:lang w:eastAsia="it-IT"/>
        </w:rPr>
        <w:br/>
        <w:t xml:space="preserve">- laddove invece si opti (come auspicato dall’appellante, con opzione di fatto condivisa dall’ordinanza di rimessione – </w:t>
      </w:r>
      <w:r w:rsidRPr="005D4A03">
        <w:rPr>
          <w:rFonts w:eastAsia="Times New Roman" w:cstheme="minorHAnsi"/>
          <w:color w:val="3D3B39"/>
          <w:sz w:val="20"/>
          <w:szCs w:val="20"/>
          <w:lang w:eastAsia="it-IT"/>
        </w:rPr>
        <w:lastRenderedPageBreak/>
        <w:t xml:space="preserve">sul punto, v. </w:t>
      </w:r>
      <w:r w:rsidRPr="005D4A03">
        <w:rPr>
          <w:rFonts w:eastAsia="Times New Roman" w:cstheme="minorHAnsi"/>
          <w:i/>
          <w:iCs/>
          <w:color w:val="3D3B39"/>
          <w:sz w:val="20"/>
          <w:szCs w:val="20"/>
          <w:lang w:eastAsia="it-IT"/>
        </w:rPr>
        <w:t>infra</w:t>
      </w:r>
      <w:r w:rsidRPr="005D4A03">
        <w:rPr>
          <w:rFonts w:eastAsia="Times New Roman" w:cstheme="minorHAnsi"/>
          <w:color w:val="3D3B39"/>
          <w:sz w:val="20"/>
          <w:szCs w:val="20"/>
          <w:lang w:eastAsia="it-IT"/>
        </w:rPr>
        <w:t xml:space="preserve"> -) per l’interpretazione secondo cui la richiamata locuzione farebbe riferimento, per la determinazione del fattore di correzione, a tutti i concorrenti ammessi (</w:t>
      </w:r>
      <w:r w:rsidRPr="005D4A03">
        <w:rPr>
          <w:rFonts w:eastAsia="Times New Roman" w:cstheme="minorHAnsi"/>
          <w:i/>
          <w:iCs/>
          <w:color w:val="3D3B39"/>
          <w:sz w:val="20"/>
          <w:szCs w:val="20"/>
          <w:lang w:eastAsia="it-IT"/>
        </w:rPr>
        <w:t>i.e.</w:t>
      </w:r>
      <w:r w:rsidRPr="005D4A03">
        <w:rPr>
          <w:rFonts w:eastAsia="Times New Roman" w:cstheme="minorHAnsi"/>
          <w:color w:val="3D3B39"/>
          <w:sz w:val="20"/>
          <w:szCs w:val="20"/>
          <w:lang w:eastAsia="it-IT"/>
        </w:rPr>
        <w:t xml:space="preserve">: anche a quelli interessati dal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 allora la soglia di anomalia resterebbe fissata nella misura del 29,606 per cento (con la conseguenza che la gara dovrebbe essere aggiudicata alla stessa appellante, la quale avrebbe formulato la prima delle offerte non anomale).</w:t>
      </w:r>
      <w:r w:rsidRPr="005D4A03">
        <w:rPr>
          <w:rFonts w:eastAsia="Times New Roman" w:cstheme="minorHAnsi"/>
          <w:color w:val="3D3B39"/>
          <w:sz w:val="20"/>
          <w:szCs w:val="20"/>
          <w:lang w:eastAsia="it-IT"/>
        </w:rPr>
        <w:br/>
        <w:t>L’ANAS ha peraltro obiettato che l’appellante avrebbe tenuto sul punto un contegno ondivago, affermando in un primo momento che l’adesione alla tesi invocata dalla stessa appellante avrebbe portato a una soglia di anomalia del 29,393 per cento e, in un secondo momento, che l’adesione a tale tesi avrebbe portato a una soglia di anomalia del 29,606 per cento.</w:t>
      </w:r>
      <w:r w:rsidRPr="005D4A03">
        <w:rPr>
          <w:rFonts w:eastAsia="Times New Roman" w:cstheme="minorHAnsi"/>
          <w:color w:val="3D3B39"/>
          <w:sz w:val="20"/>
          <w:szCs w:val="20"/>
          <w:lang w:eastAsia="it-IT"/>
        </w:rPr>
        <w:br/>
        <w:t>Si tratta di un aspetto che potrà essere valutato in sede di decisione di merito e che non impedisce di affrontare la questione di diritto demandata a questa Adunanza plenaria nei suoi termini generali.</w:t>
      </w:r>
      <w:r w:rsidRPr="005D4A03">
        <w:rPr>
          <w:rFonts w:eastAsia="Times New Roman" w:cstheme="minorHAnsi"/>
          <w:color w:val="3D3B39"/>
          <w:sz w:val="20"/>
          <w:szCs w:val="20"/>
          <w:lang w:eastAsia="it-IT"/>
        </w:rPr>
        <w:br/>
        <w:t>5. Ora, come puntualmente riferito nell’ambito dell’ordinanza di rimessione, la previsione di cui all’articolo 97, comma 2, lettera b) del ‘Codice’ ha dato luogo ad interpretazioni contrastanti.</w:t>
      </w:r>
      <w:r w:rsidRPr="005D4A03">
        <w:rPr>
          <w:rFonts w:eastAsia="Times New Roman" w:cstheme="minorHAnsi"/>
          <w:color w:val="3D3B39"/>
          <w:sz w:val="20"/>
          <w:szCs w:val="20"/>
          <w:lang w:eastAsia="it-IT"/>
        </w:rPr>
        <w:br/>
        <w:t>5.1. Secondo un primo orientamento (condiviso dal Collegio remittente) le due parti di cui si compone la disposizione in esame dovrebbero essere interpretate ed applicate secondo un criterio di carattere – per così dire – ‘dissociativo’.</w:t>
      </w:r>
      <w:r w:rsidRPr="005D4A03">
        <w:rPr>
          <w:rFonts w:eastAsia="Times New Roman" w:cstheme="minorHAnsi"/>
          <w:color w:val="3D3B39"/>
          <w:sz w:val="20"/>
          <w:szCs w:val="20"/>
          <w:lang w:eastAsia="it-IT"/>
        </w:rPr>
        <w:br/>
        <w:t xml:space="preserve">In base a tale opzione interpretativa, il Legislatore avrebbe consapevolmente tenuto distinte: </w:t>
      </w:r>
      <w:r w:rsidRPr="005D4A03">
        <w:rPr>
          <w:rFonts w:eastAsia="Times New Roman" w:cstheme="minorHAnsi"/>
          <w:i/>
          <w:iCs/>
          <w:color w:val="3D3B39"/>
          <w:sz w:val="20"/>
          <w:szCs w:val="20"/>
          <w:lang w:eastAsia="it-IT"/>
        </w:rPr>
        <w:t>i</w:t>
      </w:r>
      <w:r w:rsidRPr="005D4A03">
        <w:rPr>
          <w:rFonts w:eastAsia="Times New Roman" w:cstheme="minorHAnsi"/>
          <w:color w:val="3D3B39"/>
          <w:sz w:val="20"/>
          <w:szCs w:val="20"/>
          <w:lang w:eastAsia="it-IT"/>
        </w:rPr>
        <w:t xml:space="preserve">) (da un lato) la platea dei concorrenti in relazione ai quali determinare la media aritmetica dei ribassi (platea che andrebbe individuata previo il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 xml:space="preserve">) e </w:t>
      </w:r>
      <w:r w:rsidRPr="005D4A03">
        <w:rPr>
          <w:rFonts w:eastAsia="Times New Roman" w:cstheme="minorHAnsi"/>
          <w:i/>
          <w:iCs/>
          <w:color w:val="3D3B39"/>
          <w:sz w:val="20"/>
          <w:szCs w:val="20"/>
          <w:lang w:eastAsia="it-IT"/>
        </w:rPr>
        <w:t>ii</w:t>
      </w:r>
      <w:r w:rsidRPr="005D4A03">
        <w:rPr>
          <w:rFonts w:eastAsia="Times New Roman" w:cstheme="minorHAnsi"/>
          <w:color w:val="3D3B39"/>
          <w:sz w:val="20"/>
          <w:szCs w:val="20"/>
          <w:lang w:eastAsia="it-IT"/>
        </w:rPr>
        <w:t xml:space="preserve">) dall’altro, la platea dei concorrenti da prendere in considerazione al fine della determinazione del c.d. ‘fattore di correzione’ (platea che andrebbe identificata con l’intero novero dei concorrenti ammessi, senza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L’opzione interpretativa in questione è stata di fatto condivisa dall’ANAS (che vi si è conformata al fine di determinare la soglia di anomalia), dal primo Giudice e dallo stesso Collegio remittente.</w:t>
      </w:r>
      <w:r w:rsidRPr="005D4A03">
        <w:rPr>
          <w:rFonts w:eastAsia="Times New Roman" w:cstheme="minorHAnsi"/>
          <w:color w:val="3D3B39"/>
          <w:sz w:val="20"/>
          <w:szCs w:val="20"/>
          <w:lang w:eastAsia="it-IT"/>
        </w:rPr>
        <w:br/>
        <w:t>Fra i principali argomenti a sostegno di tale tesi (peraltro, puntualmente indicati dall’ordinanza di rimessione), si richiamano qui:</w:t>
      </w:r>
      <w:r w:rsidRPr="005D4A03">
        <w:rPr>
          <w:rFonts w:eastAsia="Times New Roman" w:cstheme="minorHAnsi"/>
          <w:color w:val="3D3B39"/>
          <w:sz w:val="20"/>
          <w:szCs w:val="20"/>
          <w:lang w:eastAsia="it-IT"/>
        </w:rPr>
        <w:br/>
        <w:t>- l’argomento (di carattere testuale) secondo cui se il Legislatore avesse inteso escludere le offerte che residuano dopo il taglio delle ali, oltre che nel calcolo della media, anche ai fini della determinazione del ‘fattore di correzione’, avrebbe dovuto stabilirlo in maniera espressa, senza far ricorso alla generica locuzione “</w:t>
      </w:r>
      <w:r w:rsidRPr="005D4A03">
        <w:rPr>
          <w:rFonts w:eastAsia="Times New Roman" w:cstheme="minorHAnsi"/>
          <w:i/>
          <w:iCs/>
          <w:color w:val="3D3B39"/>
          <w:sz w:val="20"/>
          <w:szCs w:val="20"/>
          <w:lang w:eastAsia="it-IT"/>
        </w:rPr>
        <w:t>ribassi offerti dai concorrenti ammessi</w:t>
      </w:r>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 l’argomento (di carattere sostanziale) secondo cui le offerte ‘tagliate’ ai fini della media matematica di cui alla prima parte della disposizione sono e restano offerte ‘ammesse’ ai fini del ‘fattore di correzione’ di cui alla seconda parte della medesima disposizione;</w:t>
      </w:r>
      <w:r w:rsidRPr="005D4A03">
        <w:rPr>
          <w:rFonts w:eastAsia="Times New Roman" w:cstheme="minorHAnsi"/>
          <w:color w:val="3D3B39"/>
          <w:sz w:val="20"/>
          <w:szCs w:val="20"/>
          <w:lang w:eastAsia="it-IT"/>
        </w:rPr>
        <w:br/>
        <w:t>- l’argomento (di carattere logico) secondo cui, siccome l’articolo 97, comma 2, lettera b) richiede di effettuare due operazioni ontologicamente distinte (una media nella prima parte della disposizione e una sommatoria nella seconda parte di essa), del tutto coerentemente i termini da tenere in considerazione ai fini di tali distinte operazioni dovrebbero restare anch’essi distinti fra loro;</w:t>
      </w:r>
      <w:r w:rsidRPr="005D4A03">
        <w:rPr>
          <w:rFonts w:eastAsia="Times New Roman" w:cstheme="minorHAnsi"/>
          <w:color w:val="3D3B39"/>
          <w:sz w:val="20"/>
          <w:szCs w:val="20"/>
          <w:lang w:eastAsia="it-IT"/>
        </w:rPr>
        <w:br/>
        <w:t xml:space="preserve">- l’argomento (di carattere sistematico) secondo cui se la ratio della disposizione nel suo complesso è quella di rendere il più possibile non predeterminabile la soglia di anomalia, allora il richiamato criterio ‘dissociativo’ risulterebbe quello più coerente con la </w:t>
      </w:r>
      <w:r w:rsidRPr="005D4A03">
        <w:rPr>
          <w:rFonts w:eastAsia="Times New Roman" w:cstheme="minorHAnsi"/>
          <w:i/>
          <w:iCs/>
          <w:color w:val="3D3B39"/>
          <w:sz w:val="20"/>
          <w:szCs w:val="20"/>
          <w:lang w:eastAsia="it-IT"/>
        </w:rPr>
        <w:t xml:space="preserve">ratio </w:t>
      </w:r>
      <w:proofErr w:type="spellStart"/>
      <w:r w:rsidRPr="005D4A03">
        <w:rPr>
          <w:rFonts w:eastAsia="Times New Roman" w:cstheme="minorHAnsi"/>
          <w:i/>
          <w:iCs/>
          <w:color w:val="3D3B39"/>
          <w:sz w:val="20"/>
          <w:szCs w:val="20"/>
          <w:lang w:eastAsia="it-IT"/>
        </w:rPr>
        <w:t>legis</w:t>
      </w:r>
      <w:proofErr w:type="spellEnd"/>
      <w:r w:rsidRPr="005D4A03">
        <w:rPr>
          <w:rFonts w:eastAsia="Times New Roman" w:cstheme="minorHAnsi"/>
          <w:color w:val="3D3B39"/>
          <w:sz w:val="20"/>
          <w:szCs w:val="20"/>
          <w:lang w:eastAsia="it-IT"/>
        </w:rPr>
        <w:t>, rendendo ancora più difficilmente predeterminabile la soglia di anomalia.</w:t>
      </w:r>
      <w:r w:rsidRPr="005D4A03">
        <w:rPr>
          <w:rFonts w:eastAsia="Times New Roman" w:cstheme="minorHAnsi"/>
          <w:color w:val="3D3B39"/>
          <w:sz w:val="20"/>
          <w:szCs w:val="20"/>
          <w:lang w:eastAsia="it-IT"/>
        </w:rPr>
        <w:br/>
        <w:t>5.2. In base a un secondo orientamento (non condiviso dal Collegio remittente) la disposizione in esame dovrebbe invece essere intesa secondo un criterio di carattere – per così dire – ‘associativo’.</w:t>
      </w:r>
      <w:r w:rsidRPr="005D4A03">
        <w:rPr>
          <w:rFonts w:eastAsia="Times New Roman" w:cstheme="minorHAnsi"/>
          <w:color w:val="3D3B39"/>
          <w:sz w:val="20"/>
          <w:szCs w:val="20"/>
          <w:lang w:eastAsia="it-IT"/>
        </w:rPr>
        <w:br/>
        <w:t xml:space="preserve">Secondo tale opzione la locuzione ‘offerte ammesse’ (al netto del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 xml:space="preserve">) di cui alla prima parte del comma 2, lettera b) e la locuzione ‘concorrenti ammessi’ di cui alla seconda parte della disposizione farebbero riferimento a platee omogenee (ambedue da individuare previo il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6. L’Adunanza plenaria ritiene che prevalenti ragioni inducano a propendere per la seconda delle richiamate opzioni.</w:t>
      </w:r>
      <w:r w:rsidRPr="005D4A03">
        <w:rPr>
          <w:rFonts w:eastAsia="Times New Roman" w:cstheme="minorHAnsi"/>
          <w:color w:val="3D3B39"/>
          <w:sz w:val="20"/>
          <w:szCs w:val="20"/>
          <w:lang w:eastAsia="it-IT"/>
        </w:rPr>
        <w:br/>
        <w:t>6.1. Si osserva in primo luogo al riguardo che l’opzione in questione risulta ad oggi del tutto prevalente nella giurisprudenza di appello e che gli assunti logici e sistematici su cui si fondano i precedenti giurisprudenziali specifici risultano del tutto persuasivi.</w:t>
      </w:r>
      <w:r w:rsidRPr="005D4A03">
        <w:rPr>
          <w:rFonts w:eastAsia="Times New Roman" w:cstheme="minorHAnsi"/>
          <w:color w:val="3D3B39"/>
          <w:sz w:val="20"/>
          <w:szCs w:val="20"/>
          <w:lang w:eastAsia="it-IT"/>
        </w:rPr>
        <w:br/>
        <w:t>In particolare, le sentenze della Quinta Sezione di questo Consiglio 23 gennaio 2018, n. 435 e 17 maggio 2018, n. 2959 hanno aderito alla soluzione secondo cui, ai fini dell’applicazione dell’articolo 97, comma 2, lettera b) del ‘</w:t>
      </w:r>
      <w:r w:rsidRPr="005D4A03">
        <w:rPr>
          <w:rFonts w:eastAsia="Times New Roman" w:cstheme="minorHAnsi"/>
          <w:i/>
          <w:iCs/>
          <w:color w:val="3D3B39"/>
          <w:sz w:val="20"/>
          <w:szCs w:val="20"/>
          <w:lang w:eastAsia="it-IT"/>
        </w:rPr>
        <w:t>Codice dei contratti pubblici</w:t>
      </w:r>
      <w:r w:rsidRPr="005D4A03">
        <w:rPr>
          <w:rFonts w:eastAsia="Times New Roman" w:cstheme="minorHAnsi"/>
          <w:color w:val="3D3B39"/>
          <w:sz w:val="20"/>
          <w:szCs w:val="20"/>
          <w:lang w:eastAsia="it-IT"/>
        </w:rPr>
        <w:t>’, l’esclusione (</w:t>
      </w:r>
      <w:proofErr w:type="spellStart"/>
      <w:r w:rsidRPr="005D4A03">
        <w:rPr>
          <w:rFonts w:eastAsia="Times New Roman" w:cstheme="minorHAnsi"/>
          <w:i/>
          <w:iCs/>
          <w:color w:val="3D3B39"/>
          <w:sz w:val="20"/>
          <w:szCs w:val="20"/>
          <w:lang w:eastAsia="it-IT"/>
        </w:rPr>
        <w:t>rectius</w:t>
      </w:r>
      <w:proofErr w:type="spellEnd"/>
      <w:r w:rsidRPr="005D4A03">
        <w:rPr>
          <w:rFonts w:eastAsia="Times New Roman" w:cstheme="minorHAnsi"/>
          <w:color w:val="3D3B39"/>
          <w:sz w:val="20"/>
          <w:szCs w:val="20"/>
          <w:lang w:eastAsia="it-IT"/>
        </w:rPr>
        <w:t>: accantonamento) delle offerte interessate dal taglio delle ali operi sia in relazione al calcolo della media aritmetica dei ribassi, sia in relazione alla somma dei ribassi offerti dai concorrenti ammessi.</w:t>
      </w:r>
      <w:r w:rsidRPr="005D4A03">
        <w:rPr>
          <w:rFonts w:eastAsia="Times New Roman" w:cstheme="minorHAnsi"/>
          <w:color w:val="3D3B39"/>
          <w:sz w:val="20"/>
          <w:szCs w:val="20"/>
          <w:lang w:eastAsia="it-IT"/>
        </w:rPr>
        <w:br/>
        <w:t xml:space="preserve">In particolare, la seconda delle richiamate decisioni ha </w:t>
      </w:r>
      <w:proofErr w:type="spellStart"/>
      <w:r w:rsidRPr="005D4A03">
        <w:rPr>
          <w:rFonts w:eastAsia="Times New Roman" w:cstheme="minorHAnsi"/>
          <w:color w:val="3D3B39"/>
          <w:sz w:val="20"/>
          <w:szCs w:val="20"/>
          <w:lang w:eastAsia="it-IT"/>
        </w:rPr>
        <w:t>condivisibilmente</w:t>
      </w:r>
      <w:proofErr w:type="spellEnd"/>
      <w:r w:rsidRPr="005D4A03">
        <w:rPr>
          <w:rFonts w:eastAsia="Times New Roman" w:cstheme="minorHAnsi"/>
          <w:color w:val="3D3B39"/>
          <w:sz w:val="20"/>
          <w:szCs w:val="20"/>
          <w:lang w:eastAsia="it-IT"/>
        </w:rPr>
        <w:t xml:space="preserve"> affermato (richiamando peraltro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Stato, VI, 17 ottobre 2017, n, 4803) che elementi di carattere teleologico e sistematico militino nel senso di “</w:t>
      </w:r>
      <w:r w:rsidRPr="005D4A03">
        <w:rPr>
          <w:rFonts w:eastAsia="Times New Roman" w:cstheme="minorHAnsi"/>
          <w:i/>
          <w:iCs/>
          <w:color w:val="3D3B39"/>
          <w:sz w:val="20"/>
          <w:szCs w:val="20"/>
          <w:lang w:eastAsia="it-IT"/>
        </w:rPr>
        <w:t>[ritenere] corretta l'interpretazione secondo cui la previa esclusione (c. d. taglio delle ali) va inclusa anche nel calcolo dello scarto medio aritmetico dei ribassi percentuali superiori alla media</w:t>
      </w:r>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 xml:space="preserve">Nell’occasione si è sottolineato che non emergono valide ragioni per cui, una volta eliminate alcune offerte dal criterio di calcolo, le stesse possano successivamente rientrare a farne parte. </w:t>
      </w:r>
      <w:r w:rsidRPr="005D4A03">
        <w:rPr>
          <w:rFonts w:eastAsia="Times New Roman" w:cstheme="minorHAnsi"/>
          <w:color w:val="3D3B39"/>
          <w:sz w:val="20"/>
          <w:szCs w:val="20"/>
          <w:lang w:eastAsia="it-IT"/>
        </w:rPr>
        <w:br/>
        <w:t xml:space="preserve">In modo parimenti condivisibile si è escluso che il Legislatore abbia inteso applicare il calcolo della media </w:t>
      </w:r>
      <w:r w:rsidRPr="005D4A03">
        <w:rPr>
          <w:rFonts w:eastAsia="Times New Roman" w:cstheme="minorHAnsi"/>
          <w:color w:val="3D3B39"/>
          <w:sz w:val="20"/>
          <w:szCs w:val="20"/>
          <w:lang w:eastAsia="it-IT"/>
        </w:rPr>
        <w:lastRenderedPageBreak/>
        <w:t xml:space="preserve">limitatamente ai ribassi ammessi dopo il taglio delle ali per poi successivamente calcolare, all’opposto, la somma dei ribassi prendendo in considerazione tutti i ribassi originali, seppur già esclusi. </w:t>
      </w:r>
      <w:r w:rsidRPr="005D4A03">
        <w:rPr>
          <w:rFonts w:eastAsia="Times New Roman" w:cstheme="minorHAnsi"/>
          <w:color w:val="3D3B39"/>
          <w:sz w:val="20"/>
          <w:szCs w:val="20"/>
          <w:lang w:eastAsia="it-IT"/>
        </w:rPr>
        <w:br/>
        <w:t xml:space="preserve">Si è inoltre osservato che ragioni di coerenza sistematica inducono a ritenere che la sostanziale presunzione su cui si fonda lo stesso meccanismo del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 xml:space="preserve"> è tale da non soffrire eccezioni o intermittenze nello sviluppo logico ed aritmetico della determinazione della soglia di anomalia. Ne consegue che un metodo di calcolo il quale prendesse in considerazione tale presunzione ai fini della prima operazione, ma la escludesse dalla seconda, risulterebbe intrinsecamente contraddittorio (in tal senso: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Stato, VI, 4803 del 2017)</w:t>
      </w:r>
      <w:r w:rsidRPr="005D4A03">
        <w:rPr>
          <w:rFonts w:eastAsia="Times New Roman" w:cstheme="minorHAnsi"/>
          <w:color w:val="3D3B39"/>
          <w:sz w:val="20"/>
          <w:szCs w:val="20"/>
          <w:lang w:eastAsia="it-IT"/>
        </w:rPr>
        <w:br/>
        <w:t>Un tale effetto – come già stabilito con il precedente da ultimo richiamato – si rivelerebbe irragionevolmente contraddittorio, “</w:t>
      </w:r>
      <w:r w:rsidRPr="005D4A03">
        <w:rPr>
          <w:rFonts w:eastAsia="Times New Roman" w:cstheme="minorHAnsi"/>
          <w:i/>
          <w:iCs/>
          <w:color w:val="3D3B39"/>
          <w:sz w:val="20"/>
          <w:szCs w:val="20"/>
          <w:lang w:eastAsia="it-IT"/>
        </w:rPr>
        <w:t>poiché farebbe perno su due giudizi di valore giuridico tra loro antitetici e incompatibili e, dunque, comprometterebbe la stessa ragion d'essere del primo accantonamento, peraltro indubitabilmente voluta dalla legge</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t>6.2. Si osserva poi che l’opposta soluzione (dinanzi compendiata nella formula del ‘criterio dissociativo’) non risulta suffragata – e contrariamente a quanto affermato nell’ordinanza di rimessione - da elementi testuali di portata dirimente.</w:t>
      </w:r>
      <w:r w:rsidRPr="005D4A03">
        <w:rPr>
          <w:rFonts w:eastAsia="Times New Roman" w:cstheme="minorHAnsi"/>
          <w:color w:val="3D3B39"/>
          <w:sz w:val="20"/>
          <w:szCs w:val="20"/>
          <w:lang w:eastAsia="it-IT"/>
        </w:rPr>
        <w:br/>
        <w:t>Se infatti il Legislatore, nell’ambito della medesima disposizione, ha dapprima utilizzato la locuzione “</w:t>
      </w:r>
      <w:r w:rsidRPr="005D4A03">
        <w:rPr>
          <w:rFonts w:eastAsia="Times New Roman" w:cstheme="minorHAnsi"/>
          <w:i/>
          <w:iCs/>
          <w:color w:val="3D3B39"/>
          <w:sz w:val="20"/>
          <w:szCs w:val="20"/>
          <w:lang w:eastAsia="it-IT"/>
        </w:rPr>
        <w:t>offerte ammesse</w:t>
      </w:r>
      <w:r w:rsidRPr="005D4A03">
        <w:rPr>
          <w:rFonts w:eastAsia="Times New Roman" w:cstheme="minorHAnsi"/>
          <w:color w:val="3D3B39"/>
          <w:sz w:val="20"/>
          <w:szCs w:val="20"/>
          <w:lang w:eastAsia="it-IT"/>
        </w:rPr>
        <w:t xml:space="preserve">” (abbinata al meccanismo del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 e poco oltre ha fatto riferimento ai “</w:t>
      </w:r>
      <w:r w:rsidRPr="005D4A03">
        <w:rPr>
          <w:rFonts w:eastAsia="Times New Roman" w:cstheme="minorHAnsi"/>
          <w:i/>
          <w:iCs/>
          <w:color w:val="3D3B39"/>
          <w:sz w:val="20"/>
          <w:szCs w:val="20"/>
          <w:lang w:eastAsia="it-IT"/>
        </w:rPr>
        <w:t>concorrenti ammessi</w:t>
      </w:r>
      <w:r w:rsidRPr="005D4A03">
        <w:rPr>
          <w:rFonts w:eastAsia="Times New Roman" w:cstheme="minorHAnsi"/>
          <w:color w:val="3D3B39"/>
          <w:sz w:val="20"/>
          <w:szCs w:val="20"/>
          <w:lang w:eastAsia="it-IT"/>
        </w:rPr>
        <w:t>”, non se ne inferisce in via necessaria che la seconda di tali locuzioni risulti incompatibile con il riferimento al meccanismo del taglio delle ali.</w:t>
      </w:r>
      <w:r w:rsidRPr="005D4A03">
        <w:rPr>
          <w:rFonts w:eastAsia="Times New Roman" w:cstheme="minorHAnsi"/>
          <w:color w:val="3D3B39"/>
          <w:sz w:val="20"/>
          <w:szCs w:val="20"/>
          <w:lang w:eastAsia="it-IT"/>
        </w:rPr>
        <w:br/>
        <w:t>Al contrario, elementi di carattere testuale sembrano deporre nell’opposto senso per cui l’omogeneo riferimento ad offerte e concorrenti “</w:t>
      </w:r>
      <w:r w:rsidRPr="005D4A03">
        <w:rPr>
          <w:rFonts w:eastAsia="Times New Roman" w:cstheme="minorHAnsi"/>
          <w:i/>
          <w:iCs/>
          <w:color w:val="3D3B39"/>
          <w:sz w:val="20"/>
          <w:szCs w:val="20"/>
          <w:lang w:eastAsia="it-IT"/>
        </w:rPr>
        <w:t>ammessi</w:t>
      </w:r>
      <w:r w:rsidRPr="005D4A03">
        <w:rPr>
          <w:rFonts w:eastAsia="Times New Roman" w:cstheme="minorHAnsi"/>
          <w:color w:val="3D3B39"/>
          <w:sz w:val="20"/>
          <w:szCs w:val="20"/>
          <w:lang w:eastAsia="it-IT"/>
        </w:rPr>
        <w:t xml:space="preserve">” stia a significare che in entrambi i casi il sintagma si riferisca a una platea parimenti omogenea (determinata all’esito del ‘taglio delle </w:t>
      </w:r>
      <w:proofErr w:type="spellStart"/>
      <w:r w:rsidRPr="005D4A03">
        <w:rPr>
          <w:rFonts w:eastAsia="Times New Roman" w:cstheme="minorHAnsi"/>
          <w:color w:val="3D3B39"/>
          <w:sz w:val="20"/>
          <w:szCs w:val="20"/>
          <w:lang w:eastAsia="it-IT"/>
        </w:rPr>
        <w:t>ali’</w:t>
      </w:r>
      <w:proofErr w:type="spellEnd"/>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6.3. Non risulta poi risolutivo al fine di suffragare la tesi opposta a quella qui indicata l’argomento secondo cui le offerte ‘tagliate’ ai fini della media matematica di cui alla prima parte dell’articolo 97, comma 2, lettera b) sono e restano offerte ‘ammesse’ ai fini del ‘fattore di correzione’ di cui alla seconda parte della medesima disposizione.</w:t>
      </w:r>
      <w:r w:rsidRPr="005D4A03">
        <w:rPr>
          <w:rFonts w:eastAsia="Times New Roman" w:cstheme="minorHAnsi"/>
          <w:color w:val="3D3B39"/>
          <w:sz w:val="20"/>
          <w:szCs w:val="20"/>
          <w:lang w:eastAsia="it-IT"/>
        </w:rPr>
        <w:br/>
        <w:t xml:space="preserve">Ed infatti, la circostanza secondo cui la disposizione fa riferimento in ambo i casi ad offerte ‘ammesse’ non esclude (ma anzi, rafforza) l’esigenza di coerenza interna volta ad assicurare che in entrambi i casi si faccia riferimento a una platea di carattere omogeneo. </w:t>
      </w:r>
      <w:r w:rsidRPr="005D4A03">
        <w:rPr>
          <w:rFonts w:eastAsia="Times New Roman" w:cstheme="minorHAnsi"/>
          <w:color w:val="3D3B39"/>
          <w:sz w:val="20"/>
          <w:szCs w:val="20"/>
          <w:lang w:eastAsia="it-IT"/>
        </w:rPr>
        <w:br/>
        <w:t>6.4. Per ragioni del tutto analoghe, il fatto che le due parti della disposizione facciano riferimento ad operazioni distinte (la determinazione di una media nel primo caso e di una sommatoria nel secondo) non indebolisce in alcun modo – ma semmai rafforza - l’esigenza per cui i termini di computo siano assunti in modo omogeneo per ciascuna delle due operazioni</w:t>
      </w:r>
      <w:r w:rsidRPr="005D4A03">
        <w:rPr>
          <w:rFonts w:eastAsia="Times New Roman" w:cstheme="minorHAnsi"/>
          <w:color w:val="3D3B39"/>
          <w:sz w:val="20"/>
          <w:szCs w:val="20"/>
          <w:lang w:eastAsia="it-IT"/>
        </w:rPr>
        <w:br/>
        <w:t xml:space="preserve">6.5. Non appare inoltre risolutivo l’argomento secondo cui il criterio di carattere ‘dissociativo’ andrebbe preferito atteso che la </w:t>
      </w:r>
      <w:r w:rsidRPr="005D4A03">
        <w:rPr>
          <w:rFonts w:eastAsia="Times New Roman" w:cstheme="minorHAnsi"/>
          <w:i/>
          <w:iCs/>
          <w:color w:val="3D3B39"/>
          <w:sz w:val="20"/>
          <w:szCs w:val="20"/>
          <w:lang w:eastAsia="it-IT"/>
        </w:rPr>
        <w:t>ratio</w:t>
      </w:r>
      <w:r w:rsidRPr="005D4A03">
        <w:rPr>
          <w:rFonts w:eastAsia="Times New Roman" w:cstheme="minorHAnsi"/>
          <w:color w:val="3D3B39"/>
          <w:sz w:val="20"/>
          <w:szCs w:val="20"/>
          <w:lang w:eastAsia="it-IT"/>
        </w:rPr>
        <w:t xml:space="preserve"> della disposizione nel suo complesso è quella di rendere il più possibile non predeterminabile la soglia di anomalia.</w:t>
      </w:r>
      <w:r w:rsidRPr="005D4A03">
        <w:rPr>
          <w:rFonts w:eastAsia="Times New Roman" w:cstheme="minorHAnsi"/>
          <w:color w:val="3D3B39"/>
          <w:sz w:val="20"/>
          <w:szCs w:val="20"/>
          <w:lang w:eastAsia="it-IT"/>
        </w:rPr>
        <w:br/>
        <w:t xml:space="preserve">Si osserva in senso contrario che l’argomento in parola poteva risultare persuasivo nella vigenza di un quadro normativo (quale quello di cui al decreto legislativo n. 163 del 2006) il quale contemplava un’unica modalità per determinare le offerte anomale nel caso di aggiudicazione con il criterio del prezzo più basso (ci si riferisce al criterio di cui all’articolo 86, comma 1 di quel ‘Codice’). Solo nella vigenza di tale </w:t>
      </w:r>
      <w:r w:rsidRPr="005D4A03">
        <w:rPr>
          <w:rFonts w:eastAsia="Times New Roman" w:cstheme="minorHAnsi"/>
          <w:i/>
          <w:iCs/>
          <w:color w:val="3D3B39"/>
          <w:sz w:val="20"/>
          <w:szCs w:val="20"/>
          <w:lang w:eastAsia="it-IT"/>
        </w:rPr>
        <w:t>corpus</w:t>
      </w:r>
      <w:r w:rsidRPr="005D4A03">
        <w:rPr>
          <w:rFonts w:eastAsia="Times New Roman" w:cstheme="minorHAnsi"/>
          <w:color w:val="3D3B39"/>
          <w:sz w:val="20"/>
          <w:szCs w:val="20"/>
          <w:lang w:eastAsia="it-IT"/>
        </w:rPr>
        <w:t xml:space="preserve"> normativo infatti (e a fronte di dubbi interpretativi) poteva risultare effettivamente persuasiva l’adesione al criterio che impedisse in massimo grado la predeterminazione delle medie di gara da parte dei concorrenti, anche ricorrendo a basi di computo fra loro disomogenee.</w:t>
      </w:r>
      <w:r w:rsidRPr="005D4A03">
        <w:rPr>
          <w:rFonts w:eastAsia="Times New Roman" w:cstheme="minorHAnsi"/>
          <w:color w:val="3D3B39"/>
          <w:sz w:val="20"/>
          <w:szCs w:val="20"/>
          <w:lang w:eastAsia="it-IT"/>
        </w:rPr>
        <w:br/>
        <w:t>Si osserva tuttavia che, nel diverso sistema introdotto dal nuovo ‘Codice dei contratti pubblici’, le richiamate esigenze risultano adeguatamente soddisfatte attraverso la scelta di demandare al sorteggio l’individuazione del criterio determinativo della soglia di anomalia.</w:t>
      </w:r>
      <w:r w:rsidRPr="005D4A03">
        <w:rPr>
          <w:rFonts w:eastAsia="Times New Roman" w:cstheme="minorHAnsi"/>
          <w:color w:val="3D3B39"/>
          <w:sz w:val="20"/>
          <w:szCs w:val="20"/>
          <w:lang w:eastAsia="it-IT"/>
        </w:rPr>
        <w:br/>
        <w:t>Non risulta quindi necessario, ai fini di cui sopra, il ricorso ad ulteriori meccanismi volti ad introdurre elementi di disomogeneità fra le basi di computo. Il ricorso a siffatti meccanismi introdurrebbe infatti elementi di disomogeneità nell’applicazione di una disposizione sotto ogni altro aspetto coerente, senza che ciò risulti funzionale all’obiettivo di rendere non predeterminabili le medie di gara (obiettivo il cui perseguimento è invece affidato al meccanismo del sorteggio).</w:t>
      </w:r>
      <w:r w:rsidRPr="005D4A03">
        <w:rPr>
          <w:rFonts w:eastAsia="Times New Roman" w:cstheme="minorHAnsi"/>
          <w:color w:val="3D3B39"/>
          <w:sz w:val="20"/>
          <w:szCs w:val="20"/>
          <w:lang w:eastAsia="it-IT"/>
        </w:rPr>
        <w:br/>
        <w:t>6.6. Si osserva infine che anche l’ANAC (sia pure con atti di portata non vincolante) ha aderito all’opzione interpretativa di cui sopra.</w:t>
      </w:r>
      <w:r w:rsidRPr="005D4A03">
        <w:rPr>
          <w:rFonts w:eastAsia="Times New Roman" w:cstheme="minorHAnsi"/>
          <w:color w:val="3D3B39"/>
          <w:sz w:val="20"/>
          <w:szCs w:val="20"/>
          <w:lang w:eastAsia="it-IT"/>
        </w:rPr>
        <w:br/>
        <w:t>In particolare, le Linee Guida n. 4 (recanti “</w:t>
      </w:r>
      <w:r w:rsidRPr="005D4A03">
        <w:rPr>
          <w:rFonts w:eastAsia="Times New Roman" w:cstheme="minorHAnsi"/>
          <w:i/>
          <w:iCs/>
          <w:color w:val="3D3B39"/>
          <w:sz w:val="20"/>
          <w:szCs w:val="20"/>
          <w:lang w:eastAsia="it-IT"/>
        </w:rPr>
        <w:t>Procedure per l’affidamento dei contratti pubblici di importo inferiore alle soglie di rilevanza comunitaria, indagini di mercato e formazione e gestione degli elenchi di operatori economici</w:t>
      </w:r>
      <w:r w:rsidRPr="005D4A03">
        <w:rPr>
          <w:rFonts w:eastAsia="Times New Roman" w:cstheme="minorHAnsi"/>
          <w:color w:val="3D3B39"/>
          <w:sz w:val="20"/>
          <w:szCs w:val="20"/>
          <w:lang w:eastAsia="it-IT"/>
        </w:rPr>
        <w:t xml:space="preserve">”, nel testo aggiornato con la delibera n, 206 del 1° marzo 2018), al punto 5.2.6, </w:t>
      </w:r>
      <w:r w:rsidRPr="005D4A03">
        <w:rPr>
          <w:rFonts w:eastAsia="Times New Roman" w:cstheme="minorHAnsi"/>
          <w:i/>
          <w:iCs/>
          <w:color w:val="3D3B39"/>
          <w:sz w:val="20"/>
          <w:szCs w:val="20"/>
          <w:lang w:eastAsia="it-IT"/>
        </w:rPr>
        <w:t>sub</w:t>
      </w:r>
      <w:r w:rsidRPr="005D4A03">
        <w:rPr>
          <w:rFonts w:eastAsia="Times New Roman" w:cstheme="minorHAnsi"/>
          <w:color w:val="3D3B39"/>
          <w:sz w:val="20"/>
          <w:szCs w:val="20"/>
          <w:lang w:eastAsia="it-IT"/>
        </w:rPr>
        <w:t xml:space="preserve"> k) hanno stabilito che “</w:t>
      </w:r>
      <w:r w:rsidRPr="005D4A03">
        <w:rPr>
          <w:rFonts w:eastAsia="Times New Roman" w:cstheme="minorHAnsi"/>
          <w:i/>
          <w:iCs/>
          <w:color w:val="3D3B39"/>
          <w:sz w:val="20"/>
          <w:szCs w:val="20"/>
          <w:lang w:eastAsia="it-IT"/>
        </w:rPr>
        <w:t>nel caso di sorteggio del metodo di cui all’articolo 97, comma 2, lettera b) del Codice dei contratti pubblici, una volta operato il cosiddetto taglio delle ali, occorre sommare i ribassi percentuali delle offerte residue e, calcolata la media aritmetica degli stessi, applicare l’eventuale decurtazione stabilita della norma tenendo conto della prima cifra decimale del numero che esprime la sommatoria dei ribassi</w:t>
      </w:r>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 xml:space="preserve">Si tratta, in definitiva, di un approccio del tutto coincidente con quello condiviso dall’orientamento giurisprudenziale </w:t>
      </w:r>
      <w:r w:rsidRPr="005D4A03">
        <w:rPr>
          <w:rFonts w:eastAsia="Times New Roman" w:cstheme="minorHAnsi"/>
          <w:color w:val="3D3B39"/>
          <w:sz w:val="20"/>
          <w:szCs w:val="20"/>
          <w:lang w:eastAsia="it-IT"/>
        </w:rPr>
        <w:lastRenderedPageBreak/>
        <w:t>ad oggi prevalente.</w:t>
      </w:r>
      <w:r w:rsidRPr="005D4A03">
        <w:rPr>
          <w:rFonts w:eastAsia="Times New Roman" w:cstheme="minorHAnsi"/>
          <w:color w:val="3D3B39"/>
          <w:sz w:val="20"/>
          <w:szCs w:val="20"/>
          <w:lang w:eastAsia="it-IT"/>
        </w:rPr>
        <w:br/>
        <w:t>7. In conclusione l'Adunanza Plenaria del Consiglio di Stato enuncia il seguente principio di diritto: “</w:t>
      </w:r>
      <w:r w:rsidRPr="005D4A03">
        <w:rPr>
          <w:rFonts w:eastAsia="Times New Roman" w:cstheme="minorHAnsi"/>
          <w:i/>
          <w:iCs/>
          <w:color w:val="3D3B39"/>
          <w:sz w:val="20"/>
          <w:szCs w:val="20"/>
          <w:lang w:eastAsia="it-IT"/>
        </w:rPr>
        <w:t xml:space="preserve">l’articolo 97, comma 2, lettera b) del decreto legislativo 50 del 2016 (‘Codice dei contratti pubblici’) si interpreta nel senso che la locuzione “offerte ammesse” (al netto del c.d. ‘taglio delle </w:t>
      </w:r>
      <w:proofErr w:type="spellStart"/>
      <w:r w:rsidRPr="005D4A03">
        <w:rPr>
          <w:rFonts w:eastAsia="Times New Roman" w:cstheme="minorHAnsi"/>
          <w:i/>
          <w:iCs/>
          <w:color w:val="3D3B39"/>
          <w:sz w:val="20"/>
          <w:szCs w:val="20"/>
          <w:lang w:eastAsia="it-IT"/>
        </w:rPr>
        <w:t>ali’</w:t>
      </w:r>
      <w:proofErr w:type="spellEnd"/>
      <w:r w:rsidRPr="005D4A03">
        <w:rPr>
          <w:rFonts w:eastAsia="Times New Roman" w:cstheme="minorHAnsi"/>
          <w:i/>
          <w:iCs/>
          <w:color w:val="3D3B39"/>
          <w:sz w:val="20"/>
          <w:szCs w:val="20"/>
          <w:lang w:eastAsia="it-IT"/>
        </w:rPr>
        <w:t>) da prendere in considerazione ai fini del computo della media aritmetica dei ribassi e la locuzione “concorrenti ammessi” da prendere in considerazione al fine dell’applicazione del fattore di correzione fanno riferimento a platee omogenee di concorrenti.</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r w:rsidRPr="005D4A03">
        <w:rPr>
          <w:rFonts w:eastAsia="Times New Roman" w:cstheme="minorHAnsi"/>
          <w:i/>
          <w:iCs/>
          <w:color w:val="3D3B39"/>
          <w:sz w:val="20"/>
          <w:szCs w:val="20"/>
          <w:lang w:eastAsia="it-IT"/>
        </w:rPr>
        <w:t xml:space="preserve">Conseguentemente, la somma dei ribassi offerti dai concorrenti ammessi (finalizzata alla determinazione del fattore di correzione) deve essere effettuata con riferimento alla platea dei concorrenti ammessi, ma al netto del c.d. ‘taglio delle </w:t>
      </w:r>
      <w:proofErr w:type="spellStart"/>
      <w:r w:rsidRPr="005D4A03">
        <w:rPr>
          <w:rFonts w:eastAsia="Times New Roman" w:cstheme="minorHAnsi"/>
          <w:i/>
          <w:iCs/>
          <w:color w:val="3D3B39"/>
          <w:sz w:val="20"/>
          <w:szCs w:val="20"/>
          <w:lang w:eastAsia="it-IT"/>
        </w:rPr>
        <w:t>ali’</w:t>
      </w:r>
      <w:proofErr w:type="spellEnd"/>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 xml:space="preserve">8. Ai sensi del comma 4 dell'articolo 99 del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xml:space="preserve">. l'Adunanza Plenaria decide l'intera controversia, salvo che ritenga di enunciare il principio di diritto e di restituire per il resto il giudizio alla sezione remittente. </w:t>
      </w:r>
      <w:r w:rsidRPr="005D4A03">
        <w:rPr>
          <w:rFonts w:eastAsia="Times New Roman" w:cstheme="minorHAnsi"/>
          <w:color w:val="3D3B39"/>
          <w:sz w:val="20"/>
          <w:szCs w:val="20"/>
          <w:lang w:eastAsia="it-IT"/>
        </w:rPr>
        <w:br/>
        <w:t xml:space="preserve">Il Collegio ritiene che nel caso in esame sussistano i presupposti perché, a seguito dell'enunciazione dei principio di diritto di cui al precedente punto 7, la questione sia rimessa alla Quinta Sezione del Consiglio di Stato, la quale ne valuterà le concrete ricadute ai fini del decidere. </w:t>
      </w:r>
      <w:r w:rsidRPr="005D4A03">
        <w:rPr>
          <w:rFonts w:eastAsia="Times New Roman" w:cstheme="minorHAnsi"/>
          <w:color w:val="3D3B39"/>
          <w:sz w:val="20"/>
          <w:szCs w:val="20"/>
          <w:lang w:eastAsia="it-IT"/>
        </w:rPr>
        <w:br/>
        <w:t>Per il resto il giudizio deve essere restituito alla Sezione rimettente che dovrà statuire anche in ordine alle spese di giudizio.</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P.Q.M.</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Il Consiglio di Stato in sede giurisdizionale (Adunanza Plenaria), non definitivamente pronunciando sull'appello, come in epigrafe proposto</w:t>
      </w:r>
      <w:r w:rsidRPr="005D4A03">
        <w:rPr>
          <w:rFonts w:eastAsia="Times New Roman" w:cstheme="minorHAnsi"/>
          <w:color w:val="3D3B39"/>
          <w:sz w:val="20"/>
          <w:szCs w:val="20"/>
          <w:lang w:eastAsia="it-IT"/>
        </w:rPr>
        <w:br/>
        <w:t xml:space="preserve">dichiara inammissibile l'intervento in giudizio del raggruppamento De </w:t>
      </w:r>
      <w:proofErr w:type="spellStart"/>
      <w:r w:rsidRPr="005D4A03">
        <w:rPr>
          <w:rFonts w:eastAsia="Times New Roman" w:cstheme="minorHAnsi"/>
          <w:color w:val="3D3B39"/>
          <w:sz w:val="20"/>
          <w:szCs w:val="20"/>
          <w:lang w:eastAsia="it-IT"/>
        </w:rPr>
        <w:t>Grecis</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Cos.E.Ma</w:t>
      </w:r>
      <w:proofErr w:type="spellEnd"/>
      <w:r w:rsidRPr="005D4A03">
        <w:rPr>
          <w:rFonts w:eastAsia="Times New Roman" w:cstheme="minorHAnsi"/>
          <w:color w:val="3D3B39"/>
          <w:sz w:val="20"/>
          <w:szCs w:val="20"/>
          <w:lang w:eastAsia="it-IT"/>
        </w:rPr>
        <w:t xml:space="preserve">. Verde s.r.l. con il Consorzio Stabile </w:t>
      </w:r>
      <w:proofErr w:type="spellStart"/>
      <w:r w:rsidRPr="005D4A03">
        <w:rPr>
          <w:rFonts w:eastAsia="Times New Roman" w:cstheme="minorHAnsi"/>
          <w:color w:val="3D3B39"/>
          <w:sz w:val="20"/>
          <w:szCs w:val="20"/>
          <w:lang w:eastAsia="it-IT"/>
        </w:rPr>
        <w:t>Athanor</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s.c.a.r.l</w:t>
      </w:r>
      <w:proofErr w:type="spellEnd"/>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t>enuncia il principio di cui al precedente punto 7;</w:t>
      </w:r>
      <w:r w:rsidRPr="005D4A03">
        <w:rPr>
          <w:rFonts w:eastAsia="Times New Roman" w:cstheme="minorHAnsi"/>
          <w:color w:val="3D3B39"/>
          <w:sz w:val="20"/>
          <w:szCs w:val="20"/>
          <w:lang w:eastAsia="it-IT"/>
        </w:rPr>
        <w:br/>
        <w:t>rimette per il resto la definizione del giudizio alla Sezione remittente.</w:t>
      </w:r>
      <w:r w:rsidRPr="005D4A03">
        <w:rPr>
          <w:rFonts w:eastAsia="Times New Roman" w:cstheme="minorHAnsi"/>
          <w:color w:val="3D3B39"/>
          <w:sz w:val="20"/>
          <w:szCs w:val="20"/>
          <w:lang w:eastAsia="it-IT"/>
        </w:rPr>
        <w:br/>
        <w:t xml:space="preserve">Spese al definitivo. </w:t>
      </w:r>
      <w:r w:rsidRPr="005D4A03">
        <w:rPr>
          <w:rFonts w:eastAsia="Times New Roman" w:cstheme="minorHAnsi"/>
          <w:color w:val="3D3B39"/>
          <w:sz w:val="20"/>
          <w:szCs w:val="20"/>
          <w:lang w:eastAsia="it-IT"/>
        </w:rPr>
        <w:br/>
        <w:t>Ordina che la presente sentenza sia eseguita dall'autorità amministrativa.</w:t>
      </w:r>
      <w:r w:rsidRPr="005D4A03">
        <w:rPr>
          <w:rFonts w:eastAsia="Times New Roman" w:cstheme="minorHAnsi"/>
          <w:color w:val="3D3B39"/>
          <w:sz w:val="20"/>
          <w:szCs w:val="20"/>
          <w:lang w:eastAsia="it-IT"/>
        </w:rPr>
        <w:br/>
        <w:t>Così deciso in Roma nella camera di consiglio del giorno 11 luglio 2018 con l’intervento dei magistrati:</w:t>
      </w:r>
      <w:r w:rsidRPr="005D4A03">
        <w:rPr>
          <w:rFonts w:eastAsia="Times New Roman" w:cstheme="minorHAnsi"/>
          <w:color w:val="3D3B39"/>
          <w:sz w:val="20"/>
          <w:szCs w:val="20"/>
          <w:lang w:eastAsia="it-IT"/>
        </w:rPr>
        <w:br/>
        <w:t xml:space="preserve">Alessandro </w:t>
      </w:r>
      <w:proofErr w:type="spellStart"/>
      <w:r w:rsidRPr="005D4A03">
        <w:rPr>
          <w:rFonts w:eastAsia="Times New Roman" w:cstheme="minorHAnsi"/>
          <w:color w:val="3D3B39"/>
          <w:sz w:val="20"/>
          <w:szCs w:val="20"/>
          <w:lang w:eastAsia="it-IT"/>
        </w:rPr>
        <w:t>Pajno</w:t>
      </w:r>
      <w:proofErr w:type="spellEnd"/>
      <w:r w:rsidRPr="005D4A03">
        <w:rPr>
          <w:rFonts w:eastAsia="Times New Roman" w:cstheme="minorHAnsi"/>
          <w:color w:val="3D3B39"/>
          <w:sz w:val="20"/>
          <w:szCs w:val="20"/>
          <w:lang w:eastAsia="it-IT"/>
        </w:rPr>
        <w:t>, Presidente</w:t>
      </w:r>
      <w:r w:rsidRPr="005D4A03">
        <w:rPr>
          <w:rFonts w:eastAsia="Times New Roman" w:cstheme="minorHAnsi"/>
          <w:color w:val="3D3B39"/>
          <w:sz w:val="20"/>
          <w:szCs w:val="20"/>
          <w:lang w:eastAsia="it-IT"/>
        </w:rPr>
        <w:br/>
        <w:t>Filippo Patroni Griffi, Presidente</w:t>
      </w:r>
      <w:r w:rsidRPr="005D4A03">
        <w:rPr>
          <w:rFonts w:eastAsia="Times New Roman" w:cstheme="minorHAnsi"/>
          <w:color w:val="3D3B39"/>
          <w:sz w:val="20"/>
          <w:szCs w:val="20"/>
          <w:lang w:eastAsia="it-IT"/>
        </w:rPr>
        <w:br/>
        <w:t>Sergio Santoro, Presidente</w:t>
      </w:r>
      <w:r w:rsidRPr="005D4A03">
        <w:rPr>
          <w:rFonts w:eastAsia="Times New Roman" w:cstheme="minorHAnsi"/>
          <w:color w:val="3D3B39"/>
          <w:sz w:val="20"/>
          <w:szCs w:val="20"/>
          <w:lang w:eastAsia="it-IT"/>
        </w:rPr>
        <w:br/>
        <w:t>Franco Frattini, Presidente</w:t>
      </w:r>
      <w:r w:rsidRPr="005D4A03">
        <w:rPr>
          <w:rFonts w:eastAsia="Times New Roman" w:cstheme="minorHAnsi"/>
          <w:color w:val="3D3B39"/>
          <w:sz w:val="20"/>
          <w:szCs w:val="20"/>
          <w:lang w:eastAsia="it-IT"/>
        </w:rPr>
        <w:br/>
        <w:t>Giuseppe Severini, Presidente</w:t>
      </w:r>
      <w:r w:rsidRPr="005D4A03">
        <w:rPr>
          <w:rFonts w:eastAsia="Times New Roman" w:cstheme="minorHAnsi"/>
          <w:color w:val="3D3B39"/>
          <w:sz w:val="20"/>
          <w:szCs w:val="20"/>
          <w:lang w:eastAsia="it-IT"/>
        </w:rPr>
        <w:br/>
        <w:t xml:space="preserve">Roberto </w:t>
      </w:r>
      <w:proofErr w:type="spellStart"/>
      <w:r w:rsidRPr="005D4A03">
        <w:rPr>
          <w:rFonts w:eastAsia="Times New Roman" w:cstheme="minorHAnsi"/>
          <w:color w:val="3D3B39"/>
          <w:sz w:val="20"/>
          <w:szCs w:val="20"/>
          <w:lang w:eastAsia="it-IT"/>
        </w:rPr>
        <w:t>Giovagnoli</w:t>
      </w:r>
      <w:proofErr w:type="spellEnd"/>
      <w:r w:rsidRPr="005D4A03">
        <w:rPr>
          <w:rFonts w:eastAsia="Times New Roman" w:cstheme="minorHAnsi"/>
          <w:color w:val="3D3B39"/>
          <w:sz w:val="20"/>
          <w:szCs w:val="20"/>
          <w:lang w:eastAsia="it-IT"/>
        </w:rPr>
        <w:t>, Consigliere</w:t>
      </w:r>
      <w:r w:rsidRPr="005D4A03">
        <w:rPr>
          <w:rFonts w:eastAsia="Times New Roman" w:cstheme="minorHAnsi"/>
          <w:color w:val="3D3B39"/>
          <w:sz w:val="20"/>
          <w:szCs w:val="20"/>
          <w:lang w:eastAsia="it-IT"/>
        </w:rPr>
        <w:br/>
        <w:t>Claudio Contessa, Consigliere, Estensore</w:t>
      </w:r>
      <w:r w:rsidRPr="005D4A03">
        <w:rPr>
          <w:rFonts w:eastAsia="Times New Roman" w:cstheme="minorHAnsi"/>
          <w:color w:val="3D3B39"/>
          <w:sz w:val="20"/>
          <w:szCs w:val="20"/>
          <w:lang w:eastAsia="it-IT"/>
        </w:rPr>
        <w:br/>
        <w:t>Fabio Taormina, Consigliere</w:t>
      </w:r>
      <w:r w:rsidRPr="005D4A03">
        <w:rPr>
          <w:rFonts w:eastAsia="Times New Roman" w:cstheme="minorHAnsi"/>
          <w:color w:val="3D3B39"/>
          <w:sz w:val="20"/>
          <w:szCs w:val="20"/>
          <w:lang w:eastAsia="it-IT"/>
        </w:rPr>
        <w:br/>
        <w:t xml:space="preserve">Bernhard </w:t>
      </w:r>
      <w:proofErr w:type="spellStart"/>
      <w:r w:rsidRPr="005D4A03">
        <w:rPr>
          <w:rFonts w:eastAsia="Times New Roman" w:cstheme="minorHAnsi"/>
          <w:color w:val="3D3B39"/>
          <w:sz w:val="20"/>
          <w:szCs w:val="20"/>
          <w:lang w:eastAsia="it-IT"/>
        </w:rPr>
        <w:t>Lageder</w:t>
      </w:r>
      <w:proofErr w:type="spellEnd"/>
      <w:r w:rsidRPr="005D4A03">
        <w:rPr>
          <w:rFonts w:eastAsia="Times New Roman" w:cstheme="minorHAnsi"/>
          <w:color w:val="3D3B39"/>
          <w:sz w:val="20"/>
          <w:szCs w:val="20"/>
          <w:lang w:eastAsia="it-IT"/>
        </w:rPr>
        <w:t>, Consigliere</w:t>
      </w:r>
      <w:r w:rsidRPr="005D4A03">
        <w:rPr>
          <w:rFonts w:eastAsia="Times New Roman" w:cstheme="minorHAnsi"/>
          <w:color w:val="3D3B39"/>
          <w:sz w:val="20"/>
          <w:szCs w:val="20"/>
          <w:lang w:eastAsia="it-IT"/>
        </w:rPr>
        <w:br/>
        <w:t xml:space="preserve">Umberto </w:t>
      </w:r>
      <w:proofErr w:type="spellStart"/>
      <w:r w:rsidRPr="005D4A03">
        <w:rPr>
          <w:rFonts w:eastAsia="Times New Roman" w:cstheme="minorHAnsi"/>
          <w:color w:val="3D3B39"/>
          <w:sz w:val="20"/>
          <w:szCs w:val="20"/>
          <w:lang w:eastAsia="it-IT"/>
        </w:rPr>
        <w:t>Realfonzo</w:t>
      </w:r>
      <w:proofErr w:type="spellEnd"/>
      <w:r w:rsidRPr="005D4A03">
        <w:rPr>
          <w:rFonts w:eastAsia="Times New Roman" w:cstheme="minorHAnsi"/>
          <w:color w:val="3D3B39"/>
          <w:sz w:val="20"/>
          <w:szCs w:val="20"/>
          <w:lang w:eastAsia="it-IT"/>
        </w:rPr>
        <w:t>, Consigliere</w:t>
      </w:r>
      <w:r w:rsidRPr="005D4A03">
        <w:rPr>
          <w:rFonts w:eastAsia="Times New Roman" w:cstheme="minorHAnsi"/>
          <w:color w:val="3D3B39"/>
          <w:sz w:val="20"/>
          <w:szCs w:val="20"/>
          <w:lang w:eastAsia="it-IT"/>
        </w:rPr>
        <w:br/>
        <w:t>Silvestro Maria Russo, Consigliere</w:t>
      </w:r>
      <w:r w:rsidRPr="005D4A03">
        <w:rPr>
          <w:rFonts w:eastAsia="Times New Roman" w:cstheme="minorHAnsi"/>
          <w:color w:val="3D3B39"/>
          <w:sz w:val="20"/>
          <w:szCs w:val="20"/>
          <w:lang w:eastAsia="it-IT"/>
        </w:rPr>
        <w:br/>
        <w:t xml:space="preserve">Oberdan </w:t>
      </w:r>
      <w:proofErr w:type="spellStart"/>
      <w:r w:rsidRPr="005D4A03">
        <w:rPr>
          <w:rFonts w:eastAsia="Times New Roman" w:cstheme="minorHAnsi"/>
          <w:color w:val="3D3B39"/>
          <w:sz w:val="20"/>
          <w:szCs w:val="20"/>
          <w:lang w:eastAsia="it-IT"/>
        </w:rPr>
        <w:t>Forlenza</w:t>
      </w:r>
      <w:proofErr w:type="spellEnd"/>
      <w:r w:rsidRPr="005D4A03">
        <w:rPr>
          <w:rFonts w:eastAsia="Times New Roman" w:cstheme="minorHAnsi"/>
          <w:color w:val="3D3B39"/>
          <w:sz w:val="20"/>
          <w:szCs w:val="20"/>
          <w:lang w:eastAsia="it-IT"/>
        </w:rPr>
        <w:t>, Consigliere</w:t>
      </w:r>
      <w:r w:rsidRPr="005D4A03">
        <w:rPr>
          <w:rFonts w:eastAsia="Times New Roman" w:cstheme="minorHAnsi"/>
          <w:color w:val="3D3B39"/>
          <w:sz w:val="20"/>
          <w:szCs w:val="20"/>
          <w:lang w:eastAsia="it-IT"/>
        </w:rPr>
        <w:br/>
        <w:t xml:space="preserve">Massimiliano </w:t>
      </w:r>
      <w:proofErr w:type="spellStart"/>
      <w:r w:rsidRPr="005D4A03">
        <w:rPr>
          <w:rFonts w:eastAsia="Times New Roman" w:cstheme="minorHAnsi"/>
          <w:color w:val="3D3B39"/>
          <w:sz w:val="20"/>
          <w:szCs w:val="20"/>
          <w:lang w:eastAsia="it-IT"/>
        </w:rPr>
        <w:t>Noccelli</w:t>
      </w:r>
      <w:proofErr w:type="spellEnd"/>
      <w:r w:rsidRPr="005D4A03">
        <w:rPr>
          <w:rFonts w:eastAsia="Times New Roman" w:cstheme="minorHAnsi"/>
          <w:color w:val="3D3B39"/>
          <w:sz w:val="20"/>
          <w:szCs w:val="20"/>
          <w:lang w:eastAsia="it-IT"/>
        </w:rPr>
        <w:t>, Consigliere</w:t>
      </w: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25" w:line="240" w:lineRule="auto"/>
        <w:outlineLvl w:val="2"/>
        <w:rPr>
          <w:rFonts w:eastAsia="Times New Roman" w:cstheme="minorHAnsi"/>
          <w:b/>
          <w:bCs/>
          <w:caps/>
          <w:color w:val="000000"/>
          <w:sz w:val="20"/>
          <w:szCs w:val="20"/>
          <w:lang w:eastAsia="it-IT"/>
        </w:rPr>
      </w:pP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lastRenderedPageBreak/>
        <w:t xml:space="preserve">Pubblicato il 23/08/2018 </w:t>
      </w:r>
      <w:r w:rsidRPr="005D4A03">
        <w:rPr>
          <w:rFonts w:eastAsia="Times New Roman" w:cstheme="minorHAnsi"/>
          <w:color w:val="3D3B39"/>
          <w:sz w:val="20"/>
          <w:szCs w:val="20"/>
          <w:lang w:eastAsia="it-IT"/>
        </w:rPr>
        <w:br/>
        <w:t>N. 05036/2018REG.PROV.COLL.</w:t>
      </w:r>
      <w:r w:rsidRPr="005D4A03">
        <w:rPr>
          <w:rFonts w:eastAsia="Times New Roman" w:cstheme="minorHAnsi"/>
          <w:color w:val="3D3B39"/>
          <w:sz w:val="20"/>
          <w:szCs w:val="20"/>
          <w:lang w:eastAsia="it-IT"/>
        </w:rPr>
        <w:br/>
        <w:t>N. 00979/2018 REG.RIC.</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REPUBBLICA ITALIANA</w:t>
      </w:r>
      <w:r w:rsidRPr="005D4A03">
        <w:rPr>
          <w:rFonts w:eastAsia="Times New Roman" w:cstheme="minorHAnsi"/>
          <w:b/>
          <w:bCs/>
          <w:color w:val="3D3B39"/>
          <w:sz w:val="20"/>
          <w:szCs w:val="20"/>
          <w:lang w:eastAsia="it-IT"/>
        </w:rPr>
        <w:br/>
        <w:t>IN NOME DEL POPOLO ITALIANO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Il Consiglio di Stato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in sede giurisdizionale (Sezione Quinta)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ha pronunciato la presente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r>
      <w:r w:rsidRPr="005D4A03">
        <w:rPr>
          <w:rFonts w:eastAsia="Times New Roman" w:cstheme="minorHAnsi"/>
          <w:b/>
          <w:bCs/>
          <w:color w:val="3D3B39"/>
          <w:sz w:val="20"/>
          <w:szCs w:val="20"/>
          <w:lang w:eastAsia="it-IT"/>
        </w:rPr>
        <w:t>SENTENZA</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 xml:space="preserve">sul ricorso numero di registro generale 979 del 2018, proposto da </w:t>
      </w:r>
      <w:r w:rsidRPr="005D4A03">
        <w:rPr>
          <w:rFonts w:eastAsia="Times New Roman" w:cstheme="minorHAnsi"/>
          <w:color w:val="3D3B39"/>
          <w:sz w:val="20"/>
          <w:szCs w:val="20"/>
          <w:lang w:eastAsia="it-IT"/>
        </w:rPr>
        <w:br/>
        <w:t>Consorzio CMG Ambiente Trasporti e Sanità, in persona del legale rappresentante pro tempore, rappresentato e difeso dall'avvocato Luca Tozzi, con domicilio digitale come da PEC da Registri di Giustizia e domicilio eletto presso il suo studio in Napoli, via Toledo, 323;</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contro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ANM - Azienda Napoletana Mobilità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non costituita in giudizio; </w:t>
      </w:r>
      <w:r w:rsidRPr="005D4A03">
        <w:rPr>
          <w:rFonts w:eastAsia="Times New Roman" w:cstheme="minorHAnsi"/>
          <w:color w:val="3D3B39"/>
          <w:sz w:val="20"/>
          <w:szCs w:val="20"/>
          <w:lang w:eastAsia="it-IT"/>
        </w:rPr>
        <w:br/>
        <w:t xml:space="preserve">Consorzio Stabile Europeo </w:t>
      </w:r>
      <w:proofErr w:type="spellStart"/>
      <w:r w:rsidRPr="005D4A03">
        <w:rPr>
          <w:rFonts w:eastAsia="Times New Roman" w:cstheme="minorHAnsi"/>
          <w:color w:val="3D3B39"/>
          <w:sz w:val="20"/>
          <w:szCs w:val="20"/>
          <w:lang w:eastAsia="it-IT"/>
        </w:rPr>
        <w:t>Multiservice</w:t>
      </w:r>
      <w:proofErr w:type="spellEnd"/>
      <w:r w:rsidRPr="005D4A03">
        <w:rPr>
          <w:rFonts w:eastAsia="Times New Roman" w:cstheme="minorHAnsi"/>
          <w:color w:val="3D3B39"/>
          <w:sz w:val="20"/>
          <w:szCs w:val="20"/>
          <w:lang w:eastAsia="it-IT"/>
        </w:rPr>
        <w:t xml:space="preserve">, in persona del legale rappresentante pro tempore, rappresentato e difeso dall'avvocato Lorenzo Lentini, con domicilio digitale come da PEC da Registri di Giustizia e domicilio eletto presso lo studio Alfredo Placidi in Roma, via Barnaba Tortolini, 30;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per la riforma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della sentenza del Tribunale Amministrativo Regionale per la Campania (Sezione Quarta) n. 703/2018, resa tra le parti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Visti il ricorso in appello e i relativi allegati;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Visto l'atto di costituzione in giudizio del Consorzio Stabile Europeo </w:t>
      </w:r>
      <w:proofErr w:type="spellStart"/>
      <w:r w:rsidRPr="005D4A03">
        <w:rPr>
          <w:rFonts w:eastAsia="Times New Roman" w:cstheme="minorHAnsi"/>
          <w:color w:val="3D3B39"/>
          <w:sz w:val="20"/>
          <w:szCs w:val="20"/>
          <w:lang w:eastAsia="it-IT"/>
        </w:rPr>
        <w:t>Multiservice</w:t>
      </w:r>
      <w:proofErr w:type="spellEnd"/>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Visti tutti gli atti della causa;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Relatore nella camera di consiglio del giorno 10 maggio 2018 il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Giovanni Grasso e uditi per le parti gli avvocati Tozzi e Lentini;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Ritenuto e considerato in fatto e diritto quanto segue.</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FATTO</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 xml:space="preserve">1.- Con atto notificato nei tempi e nelle forme di rito, il Consorzio CMG Ambiente Trasporti e Sanità, come in atti rappresentato e difeso, proponeva appello avverso la sentenza n. 703/2018, distinta in epigrafe, con la quale il Tribunale amministrativo per la Campania, Napoli aveva, per un verso, relativamente alla procedura evidenziale indetta dalla Azienda Napoletana Mobilità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xml:space="preserve"> per l’affidamento triennale di un appalto </w:t>
      </w:r>
      <w:proofErr w:type="spellStart"/>
      <w:r w:rsidRPr="005D4A03">
        <w:rPr>
          <w:rFonts w:eastAsia="Times New Roman" w:cstheme="minorHAnsi"/>
          <w:color w:val="3D3B39"/>
          <w:sz w:val="20"/>
          <w:szCs w:val="20"/>
          <w:lang w:eastAsia="it-IT"/>
        </w:rPr>
        <w:t>multiservice</w:t>
      </w:r>
      <w:proofErr w:type="spellEnd"/>
      <w:r w:rsidRPr="005D4A03">
        <w:rPr>
          <w:rFonts w:eastAsia="Times New Roman" w:cstheme="minorHAnsi"/>
          <w:color w:val="3D3B39"/>
          <w:sz w:val="20"/>
          <w:szCs w:val="20"/>
          <w:lang w:eastAsia="it-IT"/>
        </w:rPr>
        <w:t xml:space="preserve"> avente ad oggetto immobili, veicoli e servizi logistici, accolto solo in parte il proprio ricorso nei confronti dell’ammissione del concorrente Consorzio Stabile Europeo </w:t>
      </w:r>
      <w:proofErr w:type="spellStart"/>
      <w:r w:rsidRPr="005D4A03">
        <w:rPr>
          <w:rFonts w:eastAsia="Times New Roman" w:cstheme="minorHAnsi"/>
          <w:color w:val="3D3B39"/>
          <w:sz w:val="20"/>
          <w:szCs w:val="20"/>
          <w:lang w:eastAsia="it-IT"/>
        </w:rPr>
        <w:t>Multiservice</w:t>
      </w:r>
      <w:proofErr w:type="spellEnd"/>
      <w:r w:rsidRPr="005D4A03">
        <w:rPr>
          <w:rFonts w:eastAsia="Times New Roman" w:cstheme="minorHAnsi"/>
          <w:color w:val="3D3B39"/>
          <w:sz w:val="20"/>
          <w:szCs w:val="20"/>
          <w:lang w:eastAsia="it-IT"/>
        </w:rPr>
        <w:t xml:space="preserve"> e, per altro verso, contestualmente accolto il ricorso incidentale proposto da quest’ultima, per l’effetto disponendo l’estromissione di entrambi dalla gara.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2.- A sostegno del gravame premetteva: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a) che, nella qualità di consorzio stabile ex art. 45 comma 2, </w:t>
      </w:r>
      <w:proofErr w:type="spellStart"/>
      <w:r w:rsidRPr="005D4A03">
        <w:rPr>
          <w:rFonts w:eastAsia="Times New Roman" w:cstheme="minorHAnsi"/>
          <w:color w:val="3D3B39"/>
          <w:sz w:val="20"/>
          <w:szCs w:val="20"/>
          <w:lang w:eastAsia="it-IT"/>
        </w:rPr>
        <w:t>lett</w:t>
      </w:r>
      <w:proofErr w:type="spellEnd"/>
      <w:r w:rsidRPr="005D4A03">
        <w:rPr>
          <w:rFonts w:eastAsia="Times New Roman" w:cstheme="minorHAnsi"/>
          <w:color w:val="3D3B39"/>
          <w:sz w:val="20"/>
          <w:szCs w:val="20"/>
          <w:lang w:eastAsia="it-IT"/>
        </w:rPr>
        <w:t xml:space="preserve">. c), d.lgs. n. 50 del 2016 operante, tra gli altri, nel settore degli appalti pubblici di pulizie, aveva preso parte alla procedura aperta indetta, con bando pubblicato in data 20 settembre 2017, da ANM S.p.a. per l’affidamento, con il criterio dell’offerta economicamente più vantaggiosa, </w:t>
      </w:r>
      <w:r w:rsidRPr="005D4A03">
        <w:rPr>
          <w:rFonts w:eastAsia="Times New Roman" w:cstheme="minorHAnsi"/>
          <w:color w:val="3D3B39"/>
          <w:sz w:val="20"/>
          <w:szCs w:val="20"/>
          <w:lang w:eastAsia="it-IT"/>
        </w:rPr>
        <w:lastRenderedPageBreak/>
        <w:t xml:space="preserve">dell’appalto di pulizie </w:t>
      </w:r>
      <w:proofErr w:type="spellStart"/>
      <w:r w:rsidRPr="005D4A03">
        <w:rPr>
          <w:rFonts w:eastAsia="Times New Roman" w:cstheme="minorHAnsi"/>
          <w:color w:val="3D3B39"/>
          <w:sz w:val="20"/>
          <w:szCs w:val="20"/>
          <w:lang w:eastAsia="it-IT"/>
        </w:rPr>
        <w:t>multiservice</w:t>
      </w:r>
      <w:proofErr w:type="spellEnd"/>
      <w:r w:rsidRPr="005D4A03">
        <w:rPr>
          <w:rFonts w:eastAsia="Times New Roman" w:cstheme="minorHAnsi"/>
          <w:color w:val="3D3B39"/>
          <w:sz w:val="20"/>
          <w:szCs w:val="20"/>
          <w:lang w:eastAsia="it-IT"/>
        </w:rPr>
        <w:t xml:space="preserve">, relativo ad immobili, veicoli e servizi logistici, per la durata di 36 mesi, con opzione di rinnovo annuale;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b) che, ammessa al prosieguo delle operazioni di gara insieme al concorrente e interessato Consorzio CEM, con nota </w:t>
      </w:r>
      <w:proofErr w:type="spellStart"/>
      <w:r w:rsidRPr="005D4A03">
        <w:rPr>
          <w:rFonts w:eastAsia="Times New Roman" w:cstheme="minorHAnsi"/>
          <w:color w:val="3D3B39"/>
          <w:sz w:val="20"/>
          <w:szCs w:val="20"/>
          <w:lang w:eastAsia="it-IT"/>
        </w:rPr>
        <w:t>prot</w:t>
      </w:r>
      <w:proofErr w:type="spellEnd"/>
      <w:r w:rsidRPr="005D4A03">
        <w:rPr>
          <w:rFonts w:eastAsia="Times New Roman" w:cstheme="minorHAnsi"/>
          <w:color w:val="3D3B39"/>
          <w:sz w:val="20"/>
          <w:szCs w:val="20"/>
          <w:lang w:eastAsia="it-IT"/>
        </w:rPr>
        <w:t>. n. 1028/</w:t>
      </w:r>
      <w:proofErr w:type="spellStart"/>
      <w:r w:rsidRPr="005D4A03">
        <w:rPr>
          <w:rFonts w:eastAsia="Times New Roman" w:cstheme="minorHAnsi"/>
          <w:color w:val="3D3B39"/>
          <w:sz w:val="20"/>
          <w:szCs w:val="20"/>
          <w:lang w:eastAsia="it-IT"/>
        </w:rPr>
        <w:t>is</w:t>
      </w:r>
      <w:proofErr w:type="spellEnd"/>
      <w:r w:rsidRPr="005D4A03">
        <w:rPr>
          <w:rFonts w:eastAsia="Times New Roman" w:cstheme="minorHAnsi"/>
          <w:color w:val="3D3B39"/>
          <w:sz w:val="20"/>
          <w:szCs w:val="20"/>
          <w:lang w:eastAsia="it-IT"/>
        </w:rPr>
        <w:t xml:space="preserve"> del 29 novembre 2017 (resa a riscontro di analoga comunicazione del Consorzio CEM, che ne richiedeva a sua volta l’estromissione) aveva rappresentato che il ridetto Consorzio dovesse essere escluso, a causa della carenza dei requisiti di moralità professionale ex art. 80, comma 5, </w:t>
      </w:r>
      <w:proofErr w:type="spellStart"/>
      <w:r w:rsidRPr="005D4A03">
        <w:rPr>
          <w:rFonts w:eastAsia="Times New Roman" w:cstheme="minorHAnsi"/>
          <w:color w:val="3D3B39"/>
          <w:sz w:val="20"/>
          <w:szCs w:val="20"/>
          <w:lang w:eastAsia="it-IT"/>
        </w:rPr>
        <w:t>lett</w:t>
      </w:r>
      <w:proofErr w:type="spellEnd"/>
      <w:r w:rsidRPr="005D4A03">
        <w:rPr>
          <w:rFonts w:eastAsia="Times New Roman" w:cstheme="minorHAnsi"/>
          <w:color w:val="3D3B39"/>
          <w:sz w:val="20"/>
          <w:szCs w:val="20"/>
          <w:lang w:eastAsia="it-IT"/>
        </w:rPr>
        <w:t>. c) d.lgs. n. 50 del 2016;</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c) che, in difetto di riscontro, con ricorso ex art. 120, comma 2 bis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notificato il 7 dicembre 2017, aveva impugnato il provvedimento di ammissione del Consorzio CEM, il quale – a sua volta – con ricorso incidentale notificato in data 3 dicembre 2017 – aveva invocato la propria estromissione;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d) che, con sentenza n. 703/2018, il Tribunale amministrativo aveva: 1) accolto il ricorso principale, peraltro nei limiti del prospettico riesame motivato del provvedimento di ammissione del Consorzio CEM, in ordine alla rilevanza di precedente revoca di aggiudicazione, disposta in suo danno dal Comune di Mugnano; 2) accolto, altresì, il ricorso incidentale, disponendo la propria estromissione per carenza del dedotto requisito soggettivo di qualificazione e per invalidità dell’allegato contratto di avvalimento.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3.- Sulle esposte premesse, impugnava la ridetta statuizione, lamentando, con plurimo mezzo: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a) che erroneamente il primo giudice aveva ritenuto, rigettando l’eccezione e riconoscendo d’ufficio la scusabilità dell’errore, la tempestività del ricorso incidentale, proposto oltre il termine di trenta giorni dalla data del provvedimento di ammissione e dal perfezionamento dell’accesso;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b) che erroneamente, in accoglimento del ricorso, era stata ritenuta, a suo carico, la carenza dei requisiti di qualificazione come consorzio stabile e l’inidoneità, per genericità, dell’avvalimento: palesandosi il ricorso incidentale inammissibile e infondato;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c) che erroneamente il primo giudice, pur avendo accolto le proprie doglianze, aveva respinto, perché senza idoneo supporto probatorio, ‘allegazione della ricorrenza, in danno della controparte, di autonoma causa di esclusione, per violazione delle norme di contrattazione collettiva e mancato pagamento delle retribuzioni dei dipendenti.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4.- Si costituiva in giudizio il Consorzio CEM, che resisteva al gravame e, con distinto atto, proponeva ricorso incidentale, che censurava l’accoglimento del ricorso principale di prime cure.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L’Azienda Napoletana Mobilità </w:t>
      </w:r>
      <w:proofErr w:type="spellStart"/>
      <w:r w:rsidRPr="005D4A03">
        <w:rPr>
          <w:rFonts w:eastAsia="Times New Roman" w:cstheme="minorHAnsi"/>
          <w:color w:val="3D3B39"/>
          <w:sz w:val="20"/>
          <w:szCs w:val="20"/>
          <w:lang w:eastAsia="it-IT"/>
        </w:rPr>
        <w:t>s.p.a.</w:t>
      </w:r>
      <w:proofErr w:type="spellEnd"/>
      <w:r w:rsidRPr="005D4A03">
        <w:rPr>
          <w:rFonts w:eastAsia="Times New Roman" w:cstheme="minorHAnsi"/>
          <w:color w:val="3D3B39"/>
          <w:sz w:val="20"/>
          <w:szCs w:val="20"/>
          <w:lang w:eastAsia="it-IT"/>
        </w:rPr>
        <w:t>, ritualmente intimata, non si costituiva in giudizio.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5.- Nel contraddittorio delle parti, alla pubblica udienza del 10 maggio 2018 la causa veniva riservata per la decisione.</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DIRITTO</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1.- L’appello principale è, nei sensi delle considerazioni e delle precisazioni che seguono, infondato. Parimenti infondato è l’appello incidentale. Entrambi vanno respinti.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2.- Con il primo motivo di doglianza (che, per questo profilo, si salda con il secondo motivo dell’appello incidentale, da esaminare congiuntamente), l’appellante lamenta che la sentenza abbia ritenuto ricevibile, sia pure per errore scusabile, il ricorso incidentale di prime cure, con il quale il Consorzio CEM aveva contestato la sua ammissione alla procedura: il gravame era stato, invero, notificato solo in data 3 gennaio 2018 e, cioè, oltre il termine di trenta giorni dalla data di pubblicazione del verbale di ammissione del Consorzio appellante al prosieguo delle operazioni di gara (7 novembre 2017), tanto più che, alla data del 17 novembre 2017, la ricorrente incidentale aveva già perfezionato l’accesso documentale e, dunque, ben avrebbe potuto rispettare gli stringenti termini di legge.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Reciprocamente, l’appellante incidentale impugna il medesimo capo della sentenza, nella parte in cui non ha riconosciuto la tempestività del ricorso, ritenendo fosse necessario riconoscere la scusabilità dell’errore.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2.1.- Occorre circoscrivere i termini della </w:t>
      </w:r>
      <w:proofErr w:type="spellStart"/>
      <w:r w:rsidRPr="005D4A03">
        <w:rPr>
          <w:rFonts w:eastAsia="Times New Roman" w:cstheme="minorHAnsi"/>
          <w:color w:val="3D3B39"/>
          <w:sz w:val="20"/>
          <w:szCs w:val="20"/>
          <w:lang w:eastAsia="it-IT"/>
        </w:rPr>
        <w:t>thema</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decidendum</w:t>
      </w:r>
      <w:proofErr w:type="spellEnd"/>
      <w:r w:rsidRPr="005D4A03">
        <w:rPr>
          <w:rFonts w:eastAsia="Times New Roman" w:cstheme="minorHAnsi"/>
          <w:color w:val="3D3B39"/>
          <w:sz w:val="20"/>
          <w:szCs w:val="20"/>
          <w:lang w:eastAsia="it-IT"/>
        </w:rPr>
        <w:t xml:space="preserve"> prospettato con gli incrociati gravami.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Va anzitutto evidenziato che la sentenza impugnata, all’esito di una accurata ed argomentata disamina della </w:t>
      </w:r>
      <w:r w:rsidRPr="005D4A03">
        <w:rPr>
          <w:rFonts w:eastAsia="Times New Roman" w:cstheme="minorHAnsi"/>
          <w:color w:val="3D3B39"/>
          <w:sz w:val="20"/>
          <w:szCs w:val="20"/>
          <w:lang w:eastAsia="it-IT"/>
        </w:rPr>
        <w:lastRenderedPageBreak/>
        <w:t xml:space="preserve">problematica dei termini per proporre ricorso incidentale (improprio e ad </w:t>
      </w:r>
      <w:proofErr w:type="spellStart"/>
      <w:r w:rsidRPr="005D4A03">
        <w:rPr>
          <w:rFonts w:eastAsia="Times New Roman" w:cstheme="minorHAnsi"/>
          <w:color w:val="3D3B39"/>
          <w:sz w:val="20"/>
          <w:szCs w:val="20"/>
          <w:lang w:eastAsia="it-IT"/>
        </w:rPr>
        <w:t>excludendum</w:t>
      </w:r>
      <w:proofErr w:type="spellEnd"/>
      <w:r w:rsidRPr="005D4A03">
        <w:rPr>
          <w:rFonts w:eastAsia="Times New Roman" w:cstheme="minorHAnsi"/>
          <w:color w:val="3D3B39"/>
          <w:sz w:val="20"/>
          <w:szCs w:val="20"/>
          <w:lang w:eastAsia="it-IT"/>
        </w:rPr>
        <w:t xml:space="preserve">) nel contesto del rito </w:t>
      </w:r>
      <w:proofErr w:type="spellStart"/>
      <w:r w:rsidRPr="005D4A03">
        <w:rPr>
          <w:rFonts w:eastAsia="Times New Roman" w:cstheme="minorHAnsi"/>
          <w:color w:val="3D3B39"/>
          <w:sz w:val="20"/>
          <w:szCs w:val="20"/>
          <w:lang w:eastAsia="it-IT"/>
        </w:rPr>
        <w:t>superaccelerato</w:t>
      </w:r>
      <w:proofErr w:type="spellEnd"/>
      <w:r w:rsidRPr="005D4A03">
        <w:rPr>
          <w:rFonts w:eastAsia="Times New Roman" w:cstheme="minorHAnsi"/>
          <w:color w:val="3D3B39"/>
          <w:sz w:val="20"/>
          <w:szCs w:val="20"/>
          <w:lang w:eastAsia="it-IT"/>
        </w:rPr>
        <w:t xml:space="preserve"> dell’art. 120, comma 2-bis,Cod.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a) ha richiamato giurisprudenza dello stesso giudice, per cui il termine perentorio di trenta giorni decorre non già della “ricevuta notificazione del ricorso principale” (giusta la regola generale codificata all’art. 42, comma 1,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xml:space="preserve">.), ma dalla pubblicazione, nelle forme legali, del provvedimento lesivo (alla stessa stregua del ricorso principale);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b) ha preso atto di una sopravvenuta decisione della III Sezione del Consiglio di Stato (10 novembre 2017, n. 5182), che –in riforma del precedente del Tribunale amministrativo della Campania, Napoli, n. 3226 del 13 giugno 2017) – aveva affermato l’opposto principio, inteso a ribadire la piena operatività, anche nel procedimento dell’articolo 120, comma 2-bis, dei meccanismi processuali ordinari, , ai sensi dell’articolo 42, sulla proposizione del ricorso incidentale, inclusa la scansione dei termini procedurali.;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c) ha, nondimeno, chiarito (non essendo vincolata allo statuito principio di diritto) che il richiamato orientamento del Consiglio di Stato non meritasse condivisione, ribadendo l’opposta interpretazione;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d) ha, peraltro, vista la oscillazione giurisprudenziale, escluso la consequenziale declaratoria di irricevibilità, riconoscendo i presupposti di scusabilità dell’errore e riconoscendo, d’ufficio (ex art. 37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il beneficio della rimessione in termini.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2.2.- In siffatto contesto, l’appello principale lamenta: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a) che avrebbe errato la sentenza a riconoscere la sussistenza dei presupposti per la scusabilità dell’errore: a fronte di un orientamento sufficientemente consolidato e storicamente risalente nella giurisprudenza di primo grado, noto agli operatori di settore, un solo precedente del Consiglio di Stato non sarebbe stato idoneo, per il carattere isolato, a prefigurare la “oscillazione giurisprudenziale” suscettibile di determinare “oggettive ragioni di incertezza” sull’esatta interpretazione della norma processuale (art. 37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b) in ogni caso, a fronte della pedissequa “scusabilità” dell’errore, una doverosa prudenza avrebbe imposto – in un contesto nel quale la parte era consapevole del quadro fattuale e normativo, tanto da averne fatto oggetto di diffida </w:t>
      </w:r>
      <w:proofErr w:type="spellStart"/>
      <w:r w:rsidRPr="005D4A03">
        <w:rPr>
          <w:rFonts w:eastAsia="Times New Roman" w:cstheme="minorHAnsi"/>
          <w:color w:val="3D3B39"/>
          <w:sz w:val="20"/>
          <w:szCs w:val="20"/>
          <w:lang w:eastAsia="it-IT"/>
        </w:rPr>
        <w:t>stragiudiziale,in</w:t>
      </w:r>
      <w:proofErr w:type="spellEnd"/>
      <w:r w:rsidRPr="005D4A03">
        <w:rPr>
          <w:rFonts w:eastAsia="Times New Roman" w:cstheme="minorHAnsi"/>
          <w:color w:val="3D3B39"/>
          <w:sz w:val="20"/>
          <w:szCs w:val="20"/>
          <w:lang w:eastAsia="it-IT"/>
        </w:rPr>
        <w:t xml:space="preserve"> data 21 novembre 2017 – di non frapporre indugi nel notificare il gravame: dovendosi, con ciò, assumere tale condotta negligente in termini di contraddizione con la riconosciuta “scusabilità”, che – per definizione – postula la “non imputabilità” dell’errore;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c) il richiamato precedente del Consiglio di Stato non era pertinente alla specie, perché riferito solo all’ipotesi del ricorso incidentale c.d. escludente, di cui qui – stante la obiettiva presenza in gara di altri operatori, i cui requisiti di qualificazione non erano in contestazione – non ricorrevano i presupposti, e difettava il requisito dell’interesse strumentale alla riedizione della gara: il primo giudice insomma avrebbe convertito un (tardivo) ricorso incidentale improprio in un ricorso principale autonomo, senza preventivo vaglio di ammissibilità sull’interesse (che, in concreto, mancava, trattandosi di concorrente comunque escluso dalla procedura);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d) allora il ricorso incidentale, proposto nel contesto del rito dell’art. 120, comma 2-bis, non potrebbe avere di </w:t>
      </w:r>
      <w:proofErr w:type="spellStart"/>
      <w:r w:rsidRPr="005D4A03">
        <w:rPr>
          <w:rFonts w:eastAsia="Times New Roman" w:cstheme="minorHAnsi"/>
          <w:color w:val="3D3B39"/>
          <w:sz w:val="20"/>
          <w:szCs w:val="20"/>
          <w:lang w:eastAsia="it-IT"/>
        </w:rPr>
        <w:t>suocarattere</w:t>
      </w:r>
      <w:proofErr w:type="spellEnd"/>
      <w:r w:rsidRPr="005D4A03">
        <w:rPr>
          <w:rFonts w:eastAsia="Times New Roman" w:cstheme="minorHAnsi"/>
          <w:color w:val="3D3B39"/>
          <w:sz w:val="20"/>
          <w:szCs w:val="20"/>
          <w:lang w:eastAsia="it-IT"/>
        </w:rPr>
        <w:t xml:space="preserve"> escludente (perché idoneo a paralizzare la partecipazione alla gara): perciò avrebbe potuto essere valutato solo se tempestivo.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2.3.- Fino a questo punto – avuto, cioè, riguardo alle doglianze principali – appare evidente che la questione dei tempi per proporre il ricorso incidentale nel rito dell’ art. 120, comma-2 bis esula dal </w:t>
      </w:r>
      <w:proofErr w:type="spellStart"/>
      <w:r w:rsidRPr="005D4A03">
        <w:rPr>
          <w:rFonts w:eastAsia="Times New Roman" w:cstheme="minorHAnsi"/>
          <w:color w:val="3D3B39"/>
          <w:sz w:val="20"/>
          <w:szCs w:val="20"/>
          <w:lang w:eastAsia="it-IT"/>
        </w:rPr>
        <w:t>thema</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decidendum</w:t>
      </w:r>
      <w:proofErr w:type="spellEnd"/>
      <w:r w:rsidRPr="005D4A03">
        <w:rPr>
          <w:rFonts w:eastAsia="Times New Roman" w:cstheme="minorHAnsi"/>
          <w:color w:val="3D3B39"/>
          <w:sz w:val="20"/>
          <w:szCs w:val="20"/>
          <w:lang w:eastAsia="it-IT"/>
        </w:rPr>
        <w:t xml:space="preserve"> (la soccombenza dell’appellante, legittimante l’interesse all’appello, discende solo dalla dedotta violazione dell’art. 37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xml:space="preserve">., essendo stata condivisa l’eccezione di irricevibilità del ricorso incidentale di prime cure, proposto dalla </w:t>
      </w:r>
      <w:proofErr w:type="spellStart"/>
      <w:r w:rsidRPr="005D4A03">
        <w:rPr>
          <w:rFonts w:eastAsia="Times New Roman" w:cstheme="minorHAnsi"/>
          <w:color w:val="3D3B39"/>
          <w:sz w:val="20"/>
          <w:szCs w:val="20"/>
          <w:lang w:eastAsia="it-IT"/>
        </w:rPr>
        <w:t>controinteressata</w:t>
      </w:r>
      <w:proofErr w:type="spellEnd"/>
      <w:r w:rsidRPr="005D4A03">
        <w:rPr>
          <w:rFonts w:eastAsia="Times New Roman" w:cstheme="minorHAnsi"/>
          <w:color w:val="3D3B39"/>
          <w:sz w:val="20"/>
          <w:szCs w:val="20"/>
          <w:lang w:eastAsia="it-IT"/>
        </w:rPr>
        <w:t>).</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2.4.- Sennonché, con il secondo motivo dell’appello incidentale, quest’ultima ha contestato la sentenza, nella parte in cui aveva ritenuto – disattendendo il precedente del Consiglio di Stato – la formale irricevibilità del proprio gravame, recuperandone l’ammissibilità solo in virtù del riconoscimento del beneficio remissorio.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Perciò la censura – bene devoluta al giudice d’appello e non in modo meramente </w:t>
      </w:r>
      <w:proofErr w:type="spellStart"/>
      <w:r w:rsidRPr="005D4A03">
        <w:rPr>
          <w:rFonts w:eastAsia="Times New Roman" w:cstheme="minorHAnsi"/>
          <w:color w:val="3D3B39"/>
          <w:sz w:val="20"/>
          <w:szCs w:val="20"/>
          <w:lang w:eastAsia="it-IT"/>
        </w:rPr>
        <w:t>ripropositivo</w:t>
      </w:r>
      <w:proofErr w:type="spellEnd"/>
      <w:r w:rsidRPr="005D4A03">
        <w:rPr>
          <w:rFonts w:eastAsia="Times New Roman" w:cstheme="minorHAnsi"/>
          <w:color w:val="3D3B39"/>
          <w:sz w:val="20"/>
          <w:szCs w:val="20"/>
          <w:lang w:eastAsia="it-IT"/>
        </w:rPr>
        <w:t xml:space="preserve"> ex art. 101, comma 2,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xml:space="preserve">., perché rinveniente da parte del tutto vittoriosa nel merito su doglianza non assorbita: cfr.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xml:space="preserve">. Stato, V, 12 marzo 2018, n. 1543) si innesta su appello incidentale, che appare proprio perché indirizzato, allo scopo di </w:t>
      </w:r>
      <w:r w:rsidRPr="005D4A03">
        <w:rPr>
          <w:rFonts w:eastAsia="Times New Roman" w:cstheme="minorHAnsi"/>
          <w:color w:val="3D3B39"/>
          <w:sz w:val="20"/>
          <w:szCs w:val="20"/>
          <w:lang w:eastAsia="it-IT"/>
        </w:rPr>
        <w:lastRenderedPageBreak/>
        <w:t xml:space="preserve">conservare l’esito favorevole della decisione, sul medesimo capo impugnato in via principale.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Se ne impone, per tal via, la prioritaria e pregiudiziale disamina. Questa impone al Collegio la valutazione della questione del ricorso incidentale nel rito specialissimo dell’art. 120, comma 2-bis.</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2.5.- Il Collegio condivide la sentenza impugnata nella parte in cui affermato che il termine (di trenta giorni) per la proposizione del ricorso incidentale, da parte del concorrente che, nel quadro del rito di cui all’art. 120, comma 2-.bis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xml:space="preserve">., ha subito in prevenzione l’impugnazione di altro concorrente della propria ammissione al prosieguo della gara (e che intenda far valere l’estromissione del ricorrente principale) decorra non – come nella fattispecie del ricorso incidentale ordinario di cui all’art. 42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 dalla ricevuta notifica del ricorso principale (che, nella ipotesi generale, attiva e fa insorgere l’interesse ad agire), ma dalla conoscenza, nelle forme legali, dell’avvenuta ammissione del ricorrente principale.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La conclusione – che si discosta dal precedente di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xml:space="preserve">. Stato, III, n. 5182/2017, che non appare meritevole di essere condivisa – conferma la riflessione della dottrina che ha messo in luce le implicazioni, sul piano operativo, del rito </w:t>
      </w:r>
      <w:proofErr w:type="spellStart"/>
      <w:r w:rsidRPr="005D4A03">
        <w:rPr>
          <w:rFonts w:eastAsia="Times New Roman" w:cstheme="minorHAnsi"/>
          <w:color w:val="3D3B39"/>
          <w:sz w:val="20"/>
          <w:szCs w:val="20"/>
          <w:lang w:eastAsia="it-IT"/>
        </w:rPr>
        <w:t>superaccelerato</w:t>
      </w:r>
      <w:proofErr w:type="spellEnd"/>
      <w:r w:rsidRPr="005D4A03">
        <w:rPr>
          <w:rFonts w:eastAsia="Times New Roman" w:cstheme="minorHAnsi"/>
          <w:color w:val="3D3B39"/>
          <w:sz w:val="20"/>
          <w:szCs w:val="20"/>
          <w:lang w:eastAsia="it-IT"/>
        </w:rPr>
        <w:t xml:space="preserve"> sul regime del c.d. ricorso incidentale escludente.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In particolare, la presunzione assoluta di insorgenza immediata dell’interesse a ricorrere, che discende dall’onere di immediata impugnazione dell’art. 120, comma 2-bis, di suo conduce non solo alla successiva non configurabilità di un ricorso incidentale escludente a valle dell’impugnazione principale dell’aggiudicazione, com’è testualmente detto allo stesso comma 2 bis, penultimo periodo («L’omessa impugnazione preclude la facoltà di far valere l’illegittimità derivata dei successivi atti delle procedure di affidamento, anche con ricorso incidentale»); ma anche alla non configurabilità di analogo strumento, in senso proprio, come risposta a un ricorso immediato avverso l’altrui ammissione proposto in base al comma 2-bis, primo periodo, seconda parte.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Infatti, l’interesse a proporre un ricorso incidentale sorge soltanto per effetto dell’avvenuta proposizione del ricorso principale (art. 42, comma 1,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xml:space="preserve">.: «Le parti resistenti e i controinteressati possono proporre domande il cui interesse sorge in dipendenza della domanda proposta in via principale, a mezzo di ricorso incidentale»).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Qui la presunzione assoluta e generalizzata di interesse a ricorrere per tutti i concorrenti anticipa figurativamente questa insorgenza dell’interesse a ricorrere “escludente” al momento ufficiale della conoscenza di quell’ammissione.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Sicché la medesima ragione che preclude una reiterazione nel tempo dell’interesse a ricorrere, che si è vista per il primo ricorso, preclude una reiterazione per quello che altrimenti sarebbe un ricorso incidentale. Anche per l’impresa di cui si contesta la legittimazione alla gara opera da subito la presunzione di interesse a contestare in giudizio l’ammissione dell’impresa che muove questa contestazione. In forza della presunzione, simile, simmetrico e simultaneo è il loro interesse alla reciproca esclusione: e questo, per virtuale che sia, tiene ormai luogo di ogni altra effettiva, successiva insorgenza di utilità a quei medesimi riguardi.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In termini pratici segue che l’impresa che immagina un’altrui contestazione della propria legittimazione alla gara dispone, per muovere una simmetrica contestazione in giustizia, dello stesso termine di trenta giorni per ricorrere e dal medesimo </w:t>
      </w:r>
      <w:proofErr w:type="spellStart"/>
      <w:r w:rsidRPr="005D4A03">
        <w:rPr>
          <w:rFonts w:eastAsia="Times New Roman" w:cstheme="minorHAnsi"/>
          <w:color w:val="3D3B39"/>
          <w:sz w:val="20"/>
          <w:szCs w:val="20"/>
          <w:lang w:eastAsia="it-IT"/>
        </w:rPr>
        <w:t>dies</w:t>
      </w:r>
      <w:proofErr w:type="spellEnd"/>
      <w:r w:rsidRPr="005D4A03">
        <w:rPr>
          <w:rFonts w:eastAsia="Times New Roman" w:cstheme="minorHAnsi"/>
          <w:color w:val="3D3B39"/>
          <w:sz w:val="20"/>
          <w:szCs w:val="20"/>
          <w:lang w:eastAsia="it-IT"/>
        </w:rPr>
        <w:t xml:space="preserve"> a quo. E il suo – se segue l’altro - non sarà comunque un ricorso incidentale, ma un ricorso formalmente autonomo: anche se, appunto, in risposta a un ricorso senza il quale non lo avrebbe mosso e comunque a quello stesso connesso.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2.6.- Le conclusioni che precedono hanno trovato puntuale conferma nella sentenza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xml:space="preserve">. Stato, Ad. </w:t>
      </w:r>
      <w:proofErr w:type="spellStart"/>
      <w:r w:rsidRPr="005D4A03">
        <w:rPr>
          <w:rFonts w:eastAsia="Times New Roman" w:cstheme="minorHAnsi"/>
          <w:color w:val="3D3B39"/>
          <w:sz w:val="20"/>
          <w:szCs w:val="20"/>
          <w:lang w:eastAsia="it-IT"/>
        </w:rPr>
        <w:t>plen</w:t>
      </w:r>
      <w:proofErr w:type="spellEnd"/>
      <w:r w:rsidRPr="005D4A03">
        <w:rPr>
          <w:rFonts w:eastAsia="Times New Roman" w:cstheme="minorHAnsi"/>
          <w:color w:val="3D3B39"/>
          <w:sz w:val="20"/>
          <w:szCs w:val="20"/>
          <w:lang w:eastAsia="it-IT"/>
        </w:rPr>
        <w:t xml:space="preserve">., 26 aprile 2018, n. 4, la quale ha chiarito: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a) che l’omessa attivazione del rimedio processuale entro il termine di trenta giorni preclude al concorrente non solo la possibilità di dedurre le relative censure in sede di impugnazione della successiva aggiudicazione, ma anche di paralizzare, mediante lo strumento del ricorso incidentale, il gravame principale proposto da altro partecipante avverso la sua ammissione alla procedura;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b) che una diversa lettura non potrebbe trarre contrario argomento dal comma 6-bis dell’art. 120 cit. («La camera di consiglio o l’udienza possono essere rinviate solo in caso di esigenze istruttorie, per integrare il contraddittorio, per proporre motivi aggiunti o ricorso incidentale») che, nel contemplare espressamente la possibilità di proporre ricorsi incidentali, potrebbe far propendere, a una prima lettura, per la permanenza del potere di articolare in sede di gravame incidentale, vizi afferenti l’ammissione alla gara del ricorrente principale anche dopo il decorso del termine </w:t>
      </w:r>
      <w:r w:rsidRPr="005D4A03">
        <w:rPr>
          <w:rFonts w:eastAsia="Times New Roman" w:cstheme="minorHAnsi"/>
          <w:color w:val="3D3B39"/>
          <w:sz w:val="20"/>
          <w:szCs w:val="20"/>
          <w:lang w:eastAsia="it-IT"/>
        </w:rPr>
        <w:lastRenderedPageBreak/>
        <w:t xml:space="preserve">fissato dal comma 2-bis. Invero, in senso contrario, va osservato che detta disposizione si riferisce, in realtà, ai gravami incidentali che hanno ad oggetto non vizi di legittimità del provvedimento di ammissione alla gara, ma un diverso oggetto (es. </w:t>
      </w:r>
      <w:proofErr w:type="spellStart"/>
      <w:r w:rsidRPr="005D4A03">
        <w:rPr>
          <w:rFonts w:eastAsia="Times New Roman" w:cstheme="minorHAnsi"/>
          <w:color w:val="3D3B39"/>
          <w:sz w:val="20"/>
          <w:szCs w:val="20"/>
          <w:lang w:eastAsia="it-IT"/>
        </w:rPr>
        <w:t>lex</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specialis</w:t>
      </w:r>
      <w:proofErr w:type="spellEnd"/>
      <w:r w:rsidRPr="005D4A03">
        <w:rPr>
          <w:rFonts w:eastAsia="Times New Roman" w:cstheme="minorHAnsi"/>
          <w:color w:val="3D3B39"/>
          <w:sz w:val="20"/>
          <w:szCs w:val="20"/>
          <w:lang w:eastAsia="it-IT"/>
        </w:rPr>
        <w:t xml:space="preserve"> ove interpretata in senso presupposto dalla ricorrente principale): diversamente opinando, si giungerebbe alla conclusione non coerente con il disposto di cui al comma 2-bis di consentire l’impugnazione dell’ammissione altrui oltre il termine stabilito dalla novella legislativa. Per tal via si violerebbe il comma 2-bis e la ratio sottesa al nuovo rito specialissimo che, come sottolineato in sede consultiva dal Consiglio di Stato (parere n. 782/2017 sul decreto correttivo al Codice degli appalti pubblici) è anche quello di “neutralizzare per quanto possibile […] l’effetto “perverso” del ricorso incidentale (anche in ragione della giurisprudenza comunitaria e del difficile dialogo con la Corte di Giustizia in relazione a tale istituto)”.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Da quanto sopra si trae conferma che, nella situazione in esame, il ricorso è “incidentale” solo per ragioni formali (id est, perché proposto per secondo, nel contesto di un processo già iniziato da altri), restando, invece, sostanzialmente autonomo (e cioè, si </w:t>
      </w:r>
      <w:proofErr w:type="spellStart"/>
      <w:r w:rsidRPr="005D4A03">
        <w:rPr>
          <w:rFonts w:eastAsia="Times New Roman" w:cstheme="minorHAnsi"/>
          <w:color w:val="3D3B39"/>
          <w:sz w:val="20"/>
          <w:szCs w:val="20"/>
          <w:lang w:eastAsia="it-IT"/>
        </w:rPr>
        <w:t>paret</w:t>
      </w:r>
      <w:proofErr w:type="spellEnd"/>
      <w:r w:rsidRPr="005D4A03">
        <w:rPr>
          <w:rFonts w:eastAsia="Times New Roman" w:cstheme="minorHAnsi"/>
          <w:color w:val="3D3B39"/>
          <w:sz w:val="20"/>
          <w:szCs w:val="20"/>
          <w:lang w:eastAsia="it-IT"/>
        </w:rPr>
        <w:t>, incidentale improprio).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2.7.- Le esposte ragioni inducono a condividere, in parte qua, la sentenza impugnata e a respingere il secondo motivo dell’odierno appello incidentale.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2.8.- Va, di conseguenza, esaminato il primo motivo dell’appello principale, il quale – come chiarito – assume criticamente ad oggetto il riconoscimento dei presupposti dell’errore scusabile.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2.9.- Il motivo non è fondato.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Pur nel quadro di una interpretazione doverosamente restrittiva dell’istituto eccezionale della rimessione in termini (che, se oggetto di troppo lata e discrezionale concessione, ridonderebbe in grave vulnus dell'</w:t>
      </w:r>
      <w:proofErr w:type="spellStart"/>
      <w:r w:rsidRPr="005D4A03">
        <w:rPr>
          <w:rFonts w:eastAsia="Times New Roman" w:cstheme="minorHAnsi"/>
          <w:color w:val="3D3B39"/>
          <w:sz w:val="20"/>
          <w:szCs w:val="20"/>
          <w:lang w:eastAsia="it-IT"/>
        </w:rPr>
        <w:t>equiordinato</w:t>
      </w:r>
      <w:proofErr w:type="spellEnd"/>
      <w:r w:rsidRPr="005D4A03">
        <w:rPr>
          <w:rFonts w:eastAsia="Times New Roman" w:cstheme="minorHAnsi"/>
          <w:color w:val="3D3B39"/>
          <w:sz w:val="20"/>
          <w:szCs w:val="20"/>
          <w:lang w:eastAsia="it-IT"/>
        </w:rPr>
        <w:t xml:space="preserve"> principio della parità delle parti (art. 2, 1º comma,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xml:space="preserve">.), sul versante del rispetto dei termini perentori stabiliti dall'ordinamento processuale: cfr.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xml:space="preserve">. Stato, VI, 23 gennaio 2013, n. 394, sulla scia di Id., Ad. </w:t>
      </w:r>
      <w:proofErr w:type="spellStart"/>
      <w:r w:rsidRPr="005D4A03">
        <w:rPr>
          <w:rFonts w:eastAsia="Times New Roman" w:cstheme="minorHAnsi"/>
          <w:color w:val="3D3B39"/>
          <w:sz w:val="20"/>
          <w:szCs w:val="20"/>
          <w:lang w:eastAsia="it-IT"/>
        </w:rPr>
        <w:t>plen</w:t>
      </w:r>
      <w:proofErr w:type="spellEnd"/>
      <w:r w:rsidRPr="005D4A03">
        <w:rPr>
          <w:rFonts w:eastAsia="Times New Roman" w:cstheme="minorHAnsi"/>
          <w:color w:val="3D3B39"/>
          <w:sz w:val="20"/>
          <w:szCs w:val="20"/>
          <w:lang w:eastAsia="it-IT"/>
        </w:rPr>
        <w:t xml:space="preserve">., 2 dicembre 2010, n. 3) la pronunzia della III Sezione del Consiglio di Stato, intervenuta in pendenza dei termini per la proposizione del ricorso, era di suo idonea, per provenienza ed autorevolezza, a ingenerare – a fronte del difforme orientamento ad allora maturato, che aveva motivatamente riformato – una obiettiva “incertezza”, non imputabile alla parte, sull’esatta portata della norma processuale.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Non rileva che si trattasse, come aggiunge l’appellante, di un “unico” (e, come tale, </w:t>
      </w:r>
      <w:proofErr w:type="spellStart"/>
      <w:r w:rsidRPr="005D4A03">
        <w:rPr>
          <w:rFonts w:eastAsia="Times New Roman" w:cstheme="minorHAnsi"/>
          <w:color w:val="3D3B39"/>
          <w:sz w:val="20"/>
          <w:szCs w:val="20"/>
          <w:lang w:eastAsia="it-IT"/>
        </w:rPr>
        <w:t>pretesamente</w:t>
      </w:r>
      <w:proofErr w:type="spellEnd"/>
      <w:r w:rsidRPr="005D4A03">
        <w:rPr>
          <w:rFonts w:eastAsia="Times New Roman" w:cstheme="minorHAnsi"/>
          <w:color w:val="3D3B39"/>
          <w:sz w:val="20"/>
          <w:szCs w:val="20"/>
          <w:lang w:eastAsia="it-IT"/>
        </w:rPr>
        <w:t xml:space="preserve"> insufficiente) precedente. Si trattava, in effetti, della prima occasione in cui il Consiglio di Stato aveva vagliato </w:t>
      </w:r>
      <w:proofErr w:type="spellStart"/>
      <w:r w:rsidRPr="005D4A03">
        <w:rPr>
          <w:rFonts w:eastAsia="Times New Roman" w:cstheme="minorHAnsi"/>
          <w:color w:val="3D3B39"/>
          <w:sz w:val="20"/>
          <w:szCs w:val="20"/>
          <w:lang w:eastAsia="it-IT"/>
        </w:rPr>
        <w:t>funditus</w:t>
      </w:r>
      <w:proofErr w:type="spellEnd"/>
      <w:r w:rsidRPr="005D4A03">
        <w:rPr>
          <w:rFonts w:eastAsia="Times New Roman" w:cstheme="minorHAnsi"/>
          <w:color w:val="3D3B39"/>
          <w:sz w:val="20"/>
          <w:szCs w:val="20"/>
          <w:lang w:eastAsia="it-IT"/>
        </w:rPr>
        <w:t xml:space="preserve"> la questione e, di conserva, della prima sua espressa pronunzia in materia, cui – per comune intendimento – non poteva che conferirsi il senso di un significativo impatto sulla giurisprudenza di prime cure. Ciò in ragione della attitudine nomofilattica, voluta dall’ordinamento, delle statuizioni del Consiglio di Stato, essenziale ai fini generali della sicurezza giuridica – che è bene di cui non è dato al singolo giudice disporre a sola difesa dei propri precedenti opinamenti - idonea ad adeguatamente orientare, per la necessaria prevedibilità del diritto, la prassi degli operatori di settore.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Bene dunque il primo giudice – pur dissentendo sulla portata della ridetta pronunzia – ha quanto meno riconosciuto (d’ufficio: ex art. 37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la rimessione in termini.</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Va, perciò, respinto – unitamente al secondo motivo dell’appello incidentale – anche il primo motivo dell’appello principale.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3.- Occorre, a questo punto, esaminare il secondo motivo dell’appello principale, con il quale – per violazioni di legge ed eccesso di potere – il Consorzio CMG si duole che, recependo le censure formulate dalla </w:t>
      </w:r>
      <w:proofErr w:type="spellStart"/>
      <w:r w:rsidRPr="005D4A03">
        <w:rPr>
          <w:rFonts w:eastAsia="Times New Roman" w:cstheme="minorHAnsi"/>
          <w:color w:val="3D3B39"/>
          <w:sz w:val="20"/>
          <w:szCs w:val="20"/>
          <w:lang w:eastAsia="it-IT"/>
        </w:rPr>
        <w:t>controinteressata</w:t>
      </w:r>
      <w:proofErr w:type="spellEnd"/>
      <w:r w:rsidRPr="005D4A03">
        <w:rPr>
          <w:rFonts w:eastAsia="Times New Roman" w:cstheme="minorHAnsi"/>
          <w:color w:val="3D3B39"/>
          <w:sz w:val="20"/>
          <w:szCs w:val="20"/>
          <w:lang w:eastAsia="it-IT"/>
        </w:rPr>
        <w:t xml:space="preserve"> con il ricorso incidentale di prime cure, il giudice abbia ritenuto a proprio carico: a) il mancato possesso dei requisiti per la qualificazione come consorzio stabile ex art. 45 comma 1 </w:t>
      </w:r>
      <w:proofErr w:type="spellStart"/>
      <w:r w:rsidRPr="005D4A03">
        <w:rPr>
          <w:rFonts w:eastAsia="Times New Roman" w:cstheme="minorHAnsi"/>
          <w:color w:val="3D3B39"/>
          <w:sz w:val="20"/>
          <w:szCs w:val="20"/>
          <w:lang w:eastAsia="it-IT"/>
        </w:rPr>
        <w:t>lett</w:t>
      </w:r>
      <w:proofErr w:type="spellEnd"/>
      <w:r w:rsidRPr="005D4A03">
        <w:rPr>
          <w:rFonts w:eastAsia="Times New Roman" w:cstheme="minorHAnsi"/>
          <w:color w:val="3D3B39"/>
          <w:sz w:val="20"/>
          <w:szCs w:val="20"/>
          <w:lang w:eastAsia="it-IT"/>
        </w:rPr>
        <w:t xml:space="preserve">. c) d. </w:t>
      </w:r>
      <w:proofErr w:type="spellStart"/>
      <w:r w:rsidRPr="005D4A03">
        <w:rPr>
          <w:rFonts w:eastAsia="Times New Roman" w:cstheme="minorHAnsi"/>
          <w:color w:val="3D3B39"/>
          <w:sz w:val="20"/>
          <w:szCs w:val="20"/>
          <w:lang w:eastAsia="it-IT"/>
        </w:rPr>
        <w:t>lgs</w:t>
      </w:r>
      <w:proofErr w:type="spellEnd"/>
      <w:r w:rsidRPr="005D4A03">
        <w:rPr>
          <w:rFonts w:eastAsia="Times New Roman" w:cstheme="minorHAnsi"/>
          <w:color w:val="3D3B39"/>
          <w:sz w:val="20"/>
          <w:szCs w:val="20"/>
          <w:lang w:eastAsia="it-IT"/>
        </w:rPr>
        <w:t>. N. 50 del 2016; b) l’inidoneità, per asserita genericità, del contratto di avvalimento stipulato con la ditta ausiliaria (</w:t>
      </w:r>
      <w:proofErr w:type="spellStart"/>
      <w:r w:rsidRPr="005D4A03">
        <w:rPr>
          <w:rFonts w:eastAsia="Times New Roman" w:cstheme="minorHAnsi"/>
          <w:color w:val="3D3B39"/>
          <w:sz w:val="20"/>
          <w:szCs w:val="20"/>
          <w:lang w:eastAsia="it-IT"/>
        </w:rPr>
        <w:t>Shining</w:t>
      </w:r>
      <w:proofErr w:type="spellEnd"/>
      <w:r w:rsidRPr="005D4A03">
        <w:rPr>
          <w:rFonts w:eastAsia="Times New Roman" w:cstheme="minorHAnsi"/>
          <w:color w:val="3D3B39"/>
          <w:sz w:val="20"/>
          <w:szCs w:val="20"/>
          <w:lang w:eastAsia="it-IT"/>
        </w:rPr>
        <w:t xml:space="preserve"> s.r.l.).</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3.1 – Va premesso che la sentenza ha ritenuto inesistenti “in capo al consorzio ricorrente principale CGM i requisiti strutturali e funzionali tipici della categoria tipologica qui in rilievo”.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La conclusione è discesa dalla premessa per cui la giurisprudenza ritiene elemento essenziale per attribuire al consorzio la qualifica di consorzio stabile il c.d. elemento teleologico, ossia l'astratta idoneità del consorzio, esplicitamente consacrata nello statuto consortile, di operare con un'autonoma struttura di impresa, capace di eseguire, anche in proprio, ovvero senza l'ausilio necessario delle strutture imprenditoriali delle consorziate, le </w:t>
      </w:r>
      <w:r w:rsidRPr="005D4A03">
        <w:rPr>
          <w:rFonts w:eastAsia="Times New Roman" w:cstheme="minorHAnsi"/>
          <w:color w:val="3D3B39"/>
          <w:sz w:val="20"/>
          <w:szCs w:val="20"/>
          <w:lang w:eastAsia="it-IT"/>
        </w:rPr>
        <w:lastRenderedPageBreak/>
        <w:t xml:space="preserve">presentazioni previste nel contratto (ferma restando la facoltà per il consorzio, che abbia tale struttura, di eseguire le prestazioni, nei limiti consentiti, attraverso le consorziate) (cfr.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xml:space="preserve">. Stato, V, 2 maggio 2017 n. 1984).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Il riferimento aggiuntivo del Codice dei contratti pubblici alla «comune struttura di impresa» ha portato a concludere che costituisce predicato indefettibile di tali soggetti l’esistenza di un’azienda consortile, nel senso privatistico di «complesso dei beni organizzati dall’imprenditore per l’esercizio dell’impresa».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Di contro, qui la piana lettura dell’atto costitutivo e dello statuto allegato non avevano fatto emergere un detto, qualificante elemento, cioè lo scopo e la stessa obiettiva attitudine ad operare nel settore degli appalti pubblici con autonoma struttura ad impresa, capace di eseguire anche in proprio le prestazioni previste nel contratto.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L’art. 4 dello statuto, in particolare, nell’elencare le attività consortili faceva sempre ed esclusivamente riferimento ad attività svolte “per conto delle consorziate”. Nemmeno, sul piano fattuale (e dunque indipendentemente dai dati statutari), la odierna appellante avrebbe dimostrato l’esistenza di un’azienda consortile con le ridette caratteristiche.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Da ciò, la ritenuta illegittimità della disposta ammissione alla gara del consorzio (che aveva chiesto, nella relativa domanda, di partecipare in proprio e come soggetto distinto dalle imprese consorziate): considerazione cui andava ad aggiungersi l’omessa dichiarazione in ordine al possesso dei requisiti da ritenersi esigibili in capo a tutte le consorziate (art. 80 d.lgs. n. 50 del 2016) e la non rispondenza al vero della dichiarazione di stabilità, in violazione degli artt. 45 e 80 d.lgs. n. 50 del 2016.</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3.2.- L’appellante contesta le conclusioni della sentenza, allegando documentazione dalla quale sarebbe dato indurre – di là dalla formale previsione statutaria – la concreta e fattuale operatività “in proprio” del consorzio, con assunzione di personale proprio, assunzione di servizi in proprio, esistenza di più di quattro soci costituenti, esistenza di una stabile organizzazione (uffici, conti correnti, personale. ecc.).</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Egli lamenta, altresì, che anche se fossero mancati i requisiti per il riconoscimento della “stabilità”, avrebbe dovuto essere riconosciuto (trattandosi pur sempre di consorzio “ordinario”) il soccorso istruttorio (che il primo giudice aveva, per contro, negato, ritenendo si trattasse di vizio genetico, involgente la stessa identità del soggetto partecipante alla gara.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3.3.- Il motivo è inammissibile.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L’accoglimento della doglianza è accompagnata, nella sentenza impugnata (con passaggio motivazionale che integra non una ratio </w:t>
      </w:r>
      <w:proofErr w:type="spellStart"/>
      <w:r w:rsidRPr="005D4A03">
        <w:rPr>
          <w:rFonts w:eastAsia="Times New Roman" w:cstheme="minorHAnsi"/>
          <w:color w:val="3D3B39"/>
          <w:sz w:val="20"/>
          <w:szCs w:val="20"/>
          <w:lang w:eastAsia="it-IT"/>
        </w:rPr>
        <w:t>decidendi</w:t>
      </w:r>
      <w:proofErr w:type="spellEnd"/>
      <w:r w:rsidRPr="005D4A03">
        <w:rPr>
          <w:rFonts w:eastAsia="Times New Roman" w:cstheme="minorHAnsi"/>
          <w:color w:val="3D3B39"/>
          <w:sz w:val="20"/>
          <w:szCs w:val="20"/>
          <w:lang w:eastAsia="it-IT"/>
        </w:rPr>
        <w:t xml:space="preserve">, ma un autonomo capo decisorio, trattandosi di distinta e concorrente ragione di esclusione, in forza dell’art. 80 d. </w:t>
      </w:r>
      <w:proofErr w:type="spellStart"/>
      <w:r w:rsidRPr="005D4A03">
        <w:rPr>
          <w:rFonts w:eastAsia="Times New Roman" w:cstheme="minorHAnsi"/>
          <w:color w:val="3D3B39"/>
          <w:sz w:val="20"/>
          <w:szCs w:val="20"/>
          <w:lang w:eastAsia="it-IT"/>
        </w:rPr>
        <w:t>lgs</w:t>
      </w:r>
      <w:proofErr w:type="spellEnd"/>
      <w:r w:rsidRPr="005D4A03">
        <w:rPr>
          <w:rFonts w:eastAsia="Times New Roman" w:cstheme="minorHAnsi"/>
          <w:color w:val="3D3B39"/>
          <w:sz w:val="20"/>
          <w:szCs w:val="20"/>
          <w:lang w:eastAsia="it-IT"/>
        </w:rPr>
        <w:t xml:space="preserve">. n. 50 del 2016, espressamente richiamato), dal rilievo della illegittimità dell’ammissione del consorzio appellante per “omessa dichiarazione in ordine al possesso dei requisiti da ritenersi esigibili in capo a tutte le consorziate”. Il capo in questione non è stato impugnato con “specifiche censure” (cfr. art. 101, comma 1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amm</w:t>
      </w:r>
      <w:proofErr w:type="spellEnd"/>
      <w:r w:rsidRPr="005D4A03">
        <w:rPr>
          <w:rFonts w:eastAsia="Times New Roman" w:cstheme="minorHAnsi"/>
          <w:color w:val="3D3B39"/>
          <w:sz w:val="20"/>
          <w:szCs w:val="20"/>
          <w:lang w:eastAsia="it-IT"/>
        </w:rPr>
        <w:t xml:space="preserve">.), di tal che la relativa acquiescenza (cfr. art. 329 Cod. </w:t>
      </w:r>
      <w:proofErr w:type="spellStart"/>
      <w:r w:rsidRPr="005D4A03">
        <w:rPr>
          <w:rFonts w:eastAsia="Times New Roman" w:cstheme="minorHAnsi"/>
          <w:color w:val="3D3B39"/>
          <w:sz w:val="20"/>
          <w:szCs w:val="20"/>
          <w:lang w:eastAsia="it-IT"/>
        </w:rPr>
        <w:t>proc</w:t>
      </w:r>
      <w:proofErr w:type="spellEnd"/>
      <w:r w:rsidRPr="005D4A03">
        <w:rPr>
          <w:rFonts w:eastAsia="Times New Roman" w:cstheme="minorHAnsi"/>
          <w:color w:val="3D3B39"/>
          <w:sz w:val="20"/>
          <w:szCs w:val="20"/>
          <w:lang w:eastAsia="it-IT"/>
        </w:rPr>
        <w:t>. civ.) elide – trattandosi di autonoma ed autosufficiente ragione di esclusione – l’interesse alla disamina delle distinte ragioni di doglianza.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3.4.- Per questa considerazione, anche gli ulteriori motivi dell’appello principale – diretti a censurare la ritenuta inidoneità del contratto di avvalimento stipulato con la propria impresa ausiliaria e a lamentare l’omessa valorizzazione per difetto di prova, in danno della </w:t>
      </w:r>
      <w:proofErr w:type="spellStart"/>
      <w:r w:rsidRPr="005D4A03">
        <w:rPr>
          <w:rFonts w:eastAsia="Times New Roman" w:cstheme="minorHAnsi"/>
          <w:color w:val="3D3B39"/>
          <w:sz w:val="20"/>
          <w:szCs w:val="20"/>
          <w:lang w:eastAsia="it-IT"/>
        </w:rPr>
        <w:t>controinteressata</w:t>
      </w:r>
      <w:proofErr w:type="spellEnd"/>
      <w:r w:rsidRPr="005D4A03">
        <w:rPr>
          <w:rFonts w:eastAsia="Times New Roman" w:cstheme="minorHAnsi"/>
          <w:color w:val="3D3B39"/>
          <w:sz w:val="20"/>
          <w:szCs w:val="20"/>
          <w:lang w:eastAsia="it-IT"/>
        </w:rPr>
        <w:t>, di autonoma causa di esclusione per inadempimenti relativi a distinti rapporti negoziali intrattenuti con pubbliche amministrazioni – va dichiarato inammissibile per carenza di interesse.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4.- Va, a questo punto, esaminato – trattandosi, per questo profilo, di appello incidentale improprio, la cui disamina non è condizionata alla sorte dell’appello principale (cfr.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Stato, III, 1° agosto 2017, n. 3873) – il primo motivo dell’appello del Consorzio CEM: che ha contestato la sentenza nella parte in cui ha disposto la sua estromissione dalla gara per violazione di un obbligo dichiarativo, connesso alla circostanza che esso Consorzio risultava destinatario di un atto (determinazione dirigenziale n. 331 del 13 maggio 2016 del Comune di Mugnano) di revoca della aggiudicazione precedentemente disposta in suo favore in altra gara, per mancata comprova dei requisiti dichiarati: circostanza in ordine alla quale – essendo gli imposti obblighi dichiarativi strumentali al doveroso apprezzamento della sussistenza di possibili illeciti professionali, in grado di incidere sull’utile partecipazione alla procedura – la stazione appaltante avrebbe dovuto effettuare i necessari riscontri e le opportune verifiche.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4.1.- L’appellante incidentale contesta la decisione, assumendo: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lastRenderedPageBreak/>
        <w:br/>
        <w:t xml:space="preserve">a) che la delibera del Comune di Mugnano aveva disposto la revoca per fatti sostanzialmente imputabili soggetto distinto (segnatamente al Consorzio COMIM che, nella gara in questione, rivestiva la posizione di mandante, mentre il CEM era mandatario della costituita ATI);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b) che, per tale ragione, il provvedimento di revoca avrebbe potuto assumere rilevanza ostativa solo in danno del COMIM, che aveva omesso di rendere le prescritte dichiarazioni, senza potersi estendere in danno del CEM, che era autonomo e distinto operatore economico;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c) che la sola contestazione che aveva investito direttamente il CEM era limitata ad una presunta omessa dichiarazione di un precedente giudiziario (peraltro, per abuso di utilizzo di un contrassegno per disabili) a carico del Sig. Pinto, Consigliere di una Consorziata del CEM (CIS), che non era designata per la esecuzione dell’appalto;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d) che l’omissione dichiarativa non rilevava in modo preclusivo sulla affidabilità ed integrità professionale e morale del Consorzio CEM;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e) che – per l’effetto – nessuna violazione di obbligo dichiarativo le avrebbe potuto essere imputata, né ai fini di cui all’art. 80, comma 5 </w:t>
      </w:r>
      <w:proofErr w:type="spellStart"/>
      <w:r w:rsidRPr="005D4A03">
        <w:rPr>
          <w:rFonts w:eastAsia="Times New Roman" w:cstheme="minorHAnsi"/>
          <w:color w:val="3D3B39"/>
          <w:sz w:val="20"/>
          <w:szCs w:val="20"/>
          <w:lang w:eastAsia="it-IT"/>
        </w:rPr>
        <w:t>lett</w:t>
      </w:r>
      <w:proofErr w:type="spellEnd"/>
      <w:r w:rsidRPr="005D4A03">
        <w:rPr>
          <w:rFonts w:eastAsia="Times New Roman" w:cstheme="minorHAnsi"/>
          <w:color w:val="3D3B39"/>
          <w:sz w:val="20"/>
          <w:szCs w:val="20"/>
          <w:lang w:eastAsia="it-IT"/>
        </w:rPr>
        <w:t xml:space="preserve">. c), né a quelli di cui alla successiva </w:t>
      </w:r>
      <w:proofErr w:type="spellStart"/>
      <w:r w:rsidRPr="005D4A03">
        <w:rPr>
          <w:rFonts w:eastAsia="Times New Roman" w:cstheme="minorHAnsi"/>
          <w:color w:val="3D3B39"/>
          <w:sz w:val="20"/>
          <w:szCs w:val="20"/>
          <w:lang w:eastAsia="it-IT"/>
        </w:rPr>
        <w:t>lett</w:t>
      </w:r>
      <w:proofErr w:type="spellEnd"/>
      <w:r w:rsidRPr="005D4A03">
        <w:rPr>
          <w:rFonts w:eastAsia="Times New Roman" w:cstheme="minorHAnsi"/>
          <w:color w:val="3D3B39"/>
          <w:sz w:val="20"/>
          <w:szCs w:val="20"/>
          <w:lang w:eastAsia="it-IT"/>
        </w:rPr>
        <w:t xml:space="preserve">. f);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f) che l’omessa dichiarazione (non dolosa) non avrebbe potuto legittimare l’esclusione (ciò che – del resto – aveva correttamente indotto il primo giudice a rinviare, in prospettiva conformativa, ogni onere valutativo alla stazione appaltante).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4.2.- Il motivo non può essere accolto.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In capo ai soggetti partecipanti alle gare sussiste il dovere di dichiarare tutte le vicende pregresse, concernenti fatti risolutivi, errori o altre negligenze, comunque rilevanti, occorse in precedenti rapporti contrattuali con pubbliche amministrazioni diverse dalla stazione appaltante, giacché tale dichiarazione attiene ai principi di lealtà e affidabilità contrattuale e professionale che presiedono ai rapporti tra partecipanti e stazione appaltante, senza che a costoro sia consentito scegliere quali delle dette vicende dichiarare sulla base di un soggettivo giudizio di gravità, competendo quest'ultimo soltanto all'amministrazione committente (cfr., tra le tante,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Stato, V, 28 marzo 2018, n. 1935; Id., 15 dicembre 2016, n. 5210; Id., 4 ottobre 2016, n. 4108; Id. 26 luglio 2016, n. 3375; Id., 19 maggio 2016, n. 2106).</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Del resto – conformi, sul punto, al riassunto principio – anche le linee Guida ANAC n. 6 sono inequivocabili nello statuire che “la sussistenza delle cause di esclusione […] deve essere autocertificata dagli operatori economici mediante utilizzo del DGUE. La dichiarazione sostitutiva ha ad oggetto tutti i provvedimenti astrattamente idonei a porre in dubbio l’integrità o l’affidabilità del concorrente, anche se non ancora inseriti nel casellario informatico. È infatti rimesso in via esclusiva alla stazione appaltante il giudizio in ordine alla rilevanza in concreto dei comportamenti accertati ai fini dell’esclusione. La falsa attestazione dell’insussistenza di situazioni astrattamente idonee a configurare la causa di esclusione in argomento e l’omissione della dichiarazione di situazioni successivamente accertate dalla stazione appaltante comportano l’applicazione dell’art. 80, comma 1, </w:t>
      </w:r>
      <w:proofErr w:type="spellStart"/>
      <w:r w:rsidRPr="005D4A03">
        <w:rPr>
          <w:rFonts w:eastAsia="Times New Roman" w:cstheme="minorHAnsi"/>
          <w:color w:val="3D3B39"/>
          <w:sz w:val="20"/>
          <w:szCs w:val="20"/>
          <w:lang w:eastAsia="it-IT"/>
        </w:rPr>
        <w:t>lett</w:t>
      </w:r>
      <w:proofErr w:type="spellEnd"/>
      <w:r w:rsidRPr="005D4A03">
        <w:rPr>
          <w:rFonts w:eastAsia="Times New Roman" w:cstheme="minorHAnsi"/>
          <w:color w:val="3D3B39"/>
          <w:sz w:val="20"/>
          <w:szCs w:val="20"/>
          <w:lang w:eastAsia="it-IT"/>
        </w:rPr>
        <w:t>. f bis) del codice”.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Il motivo deve, essere, in definitiva, disatteso.</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5.- Dalle considerazioni che precedono, discende che deve dichiararsi in parte infondato e in parte inammissibile l’appello principale e deve essere integralmente respinto l’appello incidentale.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La complessità delle questioni trattate e la reciproca soccombenza giustificano l’integrale compensazione, tra le parti costituite, di spese e competenze di lite.</w:t>
      </w:r>
    </w:p>
    <w:p w:rsidR="009B213C" w:rsidRPr="005D4A03" w:rsidRDefault="009B213C" w:rsidP="009B213C">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P.Q.M.</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Il Consiglio di Stato in sede giurisdizionale (Sezione Quinta), definitivamente pronunciando sugli appelli, come in epigrafe proposto, dichiara in parte inammissibile e in parte infondato l’appello principale e respinge l’appello incidentale.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Spese compensate.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lastRenderedPageBreak/>
        <w:br/>
        <w:t>Ordina che la presente sentenza sia eseguita dall'autorità amministrativa.</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Così deciso in Roma nella camera di consiglio del giorno 10 maggio 2018 con l'intervento dei magistrati:</w:t>
      </w:r>
    </w:p>
    <w:p w:rsidR="009B213C" w:rsidRPr="005D4A03" w:rsidRDefault="009B213C" w:rsidP="009B213C">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Giuseppe Severini, Presidente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Roberto </w:t>
      </w:r>
      <w:proofErr w:type="spellStart"/>
      <w:r w:rsidRPr="005D4A03">
        <w:rPr>
          <w:rFonts w:eastAsia="Times New Roman" w:cstheme="minorHAnsi"/>
          <w:color w:val="3D3B39"/>
          <w:sz w:val="20"/>
          <w:szCs w:val="20"/>
          <w:lang w:eastAsia="it-IT"/>
        </w:rPr>
        <w:t>Giovagnoli</w:t>
      </w:r>
      <w:proofErr w:type="spellEnd"/>
      <w:r w:rsidRPr="005D4A03">
        <w:rPr>
          <w:rFonts w:eastAsia="Times New Roman" w:cstheme="minorHAnsi"/>
          <w:color w:val="3D3B39"/>
          <w:sz w:val="20"/>
          <w:szCs w:val="20"/>
          <w:lang w:eastAsia="it-IT"/>
        </w:rPr>
        <w:t>, Consigliere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Valerio Perotti, Consigliere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Federico Di Matteo, Consigliere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Giovanni Grasso, Consigliere, Estensore</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br/>
        <w:t xml:space="preserve">L'ESTENSORE  IL PRESIDENTE </w:t>
      </w:r>
      <w:r w:rsidRPr="005D4A03">
        <w:rPr>
          <w:rFonts w:eastAsia="Times New Roman" w:cstheme="minorHAnsi"/>
          <w:color w:val="3D3B39"/>
          <w:sz w:val="20"/>
          <w:szCs w:val="20"/>
          <w:lang w:eastAsia="it-IT"/>
        </w:rPr>
        <w:br/>
        <w:t xml:space="preserve">Giovanni Grasso  Giuseppe Severini </w:t>
      </w:r>
    </w:p>
    <w:p w:rsidR="009B213C" w:rsidRPr="005D4A03" w:rsidRDefault="009B213C" w:rsidP="00155B5E">
      <w:pPr>
        <w:spacing w:after="225" w:line="240" w:lineRule="auto"/>
        <w:outlineLvl w:val="2"/>
        <w:rPr>
          <w:rFonts w:eastAsia="Times New Roman" w:cstheme="minorHAnsi"/>
          <w:b/>
          <w:bCs/>
          <w:caps/>
          <w:color w:val="000000"/>
          <w:sz w:val="20"/>
          <w:szCs w:val="20"/>
          <w:lang w:eastAsia="it-IT"/>
        </w:rPr>
      </w:pPr>
    </w:p>
    <w:p w:rsidR="009B213C" w:rsidRPr="005D4A03" w:rsidRDefault="009B213C" w:rsidP="00155B5E">
      <w:pPr>
        <w:spacing w:after="225" w:line="240" w:lineRule="auto"/>
        <w:outlineLvl w:val="2"/>
        <w:rPr>
          <w:rFonts w:eastAsia="Times New Roman" w:cstheme="minorHAnsi"/>
          <w:b/>
          <w:bCs/>
          <w:caps/>
          <w:color w:val="000000"/>
          <w:sz w:val="20"/>
          <w:szCs w:val="20"/>
          <w:lang w:eastAsia="it-IT"/>
        </w:rPr>
      </w:pPr>
    </w:p>
    <w:p w:rsidR="009B213C" w:rsidRPr="005D4A03" w:rsidRDefault="009B213C" w:rsidP="00155B5E">
      <w:pPr>
        <w:spacing w:after="225" w:line="240" w:lineRule="auto"/>
        <w:outlineLvl w:val="2"/>
        <w:rPr>
          <w:rFonts w:eastAsia="Times New Roman" w:cstheme="minorHAnsi"/>
          <w:b/>
          <w:bCs/>
          <w:caps/>
          <w:color w:val="000000"/>
          <w:sz w:val="20"/>
          <w:szCs w:val="20"/>
          <w:lang w:eastAsia="it-IT"/>
        </w:rPr>
      </w:pPr>
    </w:p>
    <w:p w:rsidR="009B213C" w:rsidRPr="005D4A03" w:rsidRDefault="009B213C"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65" w:line="240" w:lineRule="auto"/>
        <w:rPr>
          <w:rFonts w:eastAsia="Times New Roman" w:cstheme="minorHAnsi"/>
          <w:color w:val="3D3B39"/>
          <w:sz w:val="20"/>
          <w:szCs w:val="20"/>
          <w:lang w:eastAsia="it-IT"/>
        </w:rPr>
      </w:pPr>
      <w:bookmarkStart w:id="0" w:name="_GoBack"/>
      <w:bookmarkEnd w:id="0"/>
      <w:r w:rsidRPr="005D4A03">
        <w:rPr>
          <w:rFonts w:eastAsia="Times New Roman" w:cstheme="minorHAnsi"/>
          <w:color w:val="3D3B39"/>
          <w:sz w:val="20"/>
          <w:szCs w:val="20"/>
          <w:lang w:eastAsia="it-IT"/>
        </w:rPr>
        <w:lastRenderedPageBreak/>
        <w:t xml:space="preserve">Pubblicato il 08/08/2018 </w:t>
      </w:r>
      <w:r w:rsidRPr="005D4A03">
        <w:rPr>
          <w:rFonts w:eastAsia="Times New Roman" w:cstheme="minorHAnsi"/>
          <w:color w:val="3D3B39"/>
          <w:sz w:val="20"/>
          <w:szCs w:val="20"/>
          <w:lang w:eastAsia="it-IT"/>
        </w:rPr>
        <w:br/>
      </w:r>
      <w:r w:rsidRPr="005D4A03">
        <w:rPr>
          <w:rFonts w:eastAsia="Times New Roman" w:cstheme="minorHAnsi"/>
          <w:b/>
          <w:bCs/>
          <w:color w:val="3D3B39"/>
          <w:sz w:val="20"/>
          <w:szCs w:val="20"/>
          <w:lang w:eastAsia="it-IT"/>
        </w:rPr>
        <w:t>N. 00739/2018 REG.PROV.COLL.</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r w:rsidRPr="005D4A03">
        <w:rPr>
          <w:rFonts w:eastAsia="Times New Roman" w:cstheme="minorHAnsi"/>
          <w:b/>
          <w:bCs/>
          <w:color w:val="3D3B39"/>
          <w:sz w:val="20"/>
          <w:szCs w:val="20"/>
          <w:lang w:eastAsia="it-IT"/>
        </w:rPr>
        <w:t>N. 00161/2018 REG.RIC.</w:t>
      </w:r>
    </w:p>
    <w:p w:rsidR="00155B5E" w:rsidRPr="005D4A03" w:rsidRDefault="00155B5E" w:rsidP="00155B5E">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REPUBBLICA ITALIANA</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r w:rsidRPr="005D4A03">
        <w:rPr>
          <w:rFonts w:eastAsia="Times New Roman" w:cstheme="minorHAnsi"/>
          <w:b/>
          <w:bCs/>
          <w:color w:val="3D3B39"/>
          <w:sz w:val="20"/>
          <w:szCs w:val="20"/>
          <w:lang w:eastAsia="it-IT"/>
        </w:rPr>
        <w:t>IN NOME DEL POPOLO ITALIANO</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r w:rsidRPr="005D4A03">
        <w:rPr>
          <w:rFonts w:eastAsia="Times New Roman" w:cstheme="minorHAnsi"/>
          <w:b/>
          <w:bCs/>
          <w:color w:val="3D3B39"/>
          <w:sz w:val="20"/>
          <w:szCs w:val="20"/>
          <w:lang w:eastAsia="it-IT"/>
        </w:rPr>
        <w:t>Il Tribunale Amministrativo Regionale per la Sardegna</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r>
      <w:r w:rsidRPr="005D4A03">
        <w:rPr>
          <w:rFonts w:eastAsia="Times New Roman" w:cstheme="minorHAnsi"/>
          <w:b/>
          <w:bCs/>
          <w:color w:val="3D3B39"/>
          <w:sz w:val="20"/>
          <w:szCs w:val="20"/>
          <w:lang w:eastAsia="it-IT"/>
        </w:rPr>
        <w:t>(Sezione Prima)</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t xml:space="preserve">ha pronunciato la presente </w:t>
      </w:r>
    </w:p>
    <w:p w:rsidR="00155B5E" w:rsidRPr="005D4A03" w:rsidRDefault="00155B5E" w:rsidP="00155B5E">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SENTENZA</w:t>
      </w:r>
      <w:r w:rsidRPr="005D4A03">
        <w:rPr>
          <w:rFonts w:eastAsia="Times New Roman" w:cstheme="minorHAnsi"/>
          <w:color w:val="3D3B39"/>
          <w:sz w:val="20"/>
          <w:szCs w:val="20"/>
          <w:lang w:eastAsia="it-IT"/>
        </w:rPr>
        <w:t xml:space="preserve"> </w:t>
      </w:r>
    </w:p>
    <w:p w:rsidR="00155B5E" w:rsidRPr="005D4A03" w:rsidRDefault="00155B5E" w:rsidP="00155B5E">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sul ricorso numero di registro generale 161 del 2018, proposto da </w:t>
      </w:r>
      <w:r w:rsidRPr="005D4A03">
        <w:rPr>
          <w:rFonts w:eastAsia="Times New Roman" w:cstheme="minorHAnsi"/>
          <w:color w:val="3D3B39"/>
          <w:sz w:val="20"/>
          <w:szCs w:val="20"/>
          <w:lang w:eastAsia="it-IT"/>
        </w:rPr>
        <w:br/>
        <w:t xml:space="preserve">La Clessidra S.C.S. </w:t>
      </w:r>
      <w:proofErr w:type="spellStart"/>
      <w:r w:rsidRPr="005D4A03">
        <w:rPr>
          <w:rFonts w:eastAsia="Times New Roman" w:cstheme="minorHAnsi"/>
          <w:color w:val="3D3B39"/>
          <w:sz w:val="20"/>
          <w:szCs w:val="20"/>
          <w:lang w:eastAsia="it-IT"/>
        </w:rPr>
        <w:t>Onlus</w:t>
      </w:r>
      <w:proofErr w:type="spellEnd"/>
      <w:r w:rsidRPr="005D4A03">
        <w:rPr>
          <w:rFonts w:eastAsia="Times New Roman" w:cstheme="minorHAnsi"/>
          <w:color w:val="3D3B39"/>
          <w:sz w:val="20"/>
          <w:szCs w:val="20"/>
          <w:lang w:eastAsia="it-IT"/>
        </w:rPr>
        <w:t xml:space="preserve">, in persona del legale rappresentante pro tempore, in proprio e in qualità di mandataria del costituendo R.T.I. con Sinergie Società Coop. </w:t>
      </w:r>
      <w:proofErr w:type="spellStart"/>
      <w:r w:rsidRPr="005D4A03">
        <w:rPr>
          <w:rFonts w:eastAsia="Times New Roman" w:cstheme="minorHAnsi"/>
          <w:color w:val="3D3B39"/>
          <w:sz w:val="20"/>
          <w:szCs w:val="20"/>
          <w:lang w:eastAsia="it-IT"/>
        </w:rPr>
        <w:t>Soc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Onlus</w:t>
      </w:r>
      <w:proofErr w:type="spellEnd"/>
      <w:r w:rsidRPr="005D4A03">
        <w:rPr>
          <w:rFonts w:eastAsia="Times New Roman" w:cstheme="minorHAnsi"/>
          <w:color w:val="3D3B39"/>
          <w:sz w:val="20"/>
          <w:szCs w:val="20"/>
          <w:lang w:eastAsia="it-IT"/>
        </w:rPr>
        <w:t xml:space="preserve">, (mandante), Luoghi Comuni Società Coop. </w:t>
      </w:r>
      <w:proofErr w:type="spellStart"/>
      <w:r w:rsidRPr="005D4A03">
        <w:rPr>
          <w:rFonts w:eastAsia="Times New Roman" w:cstheme="minorHAnsi"/>
          <w:color w:val="3D3B39"/>
          <w:sz w:val="20"/>
          <w:szCs w:val="20"/>
          <w:lang w:eastAsia="it-IT"/>
        </w:rPr>
        <w:t>Soc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Onlus</w:t>
      </w:r>
      <w:proofErr w:type="spellEnd"/>
      <w:r w:rsidRPr="005D4A03">
        <w:rPr>
          <w:rFonts w:eastAsia="Times New Roman" w:cstheme="minorHAnsi"/>
          <w:color w:val="3D3B39"/>
          <w:sz w:val="20"/>
          <w:szCs w:val="20"/>
          <w:lang w:eastAsia="it-IT"/>
        </w:rPr>
        <w:t xml:space="preserve">, (mandante), Sirone Società Coop. a </w:t>
      </w:r>
      <w:proofErr w:type="spellStart"/>
      <w:r w:rsidRPr="005D4A03">
        <w:rPr>
          <w:rFonts w:eastAsia="Times New Roman" w:cstheme="minorHAnsi"/>
          <w:color w:val="3D3B39"/>
          <w:sz w:val="20"/>
          <w:szCs w:val="20"/>
          <w:lang w:eastAsia="it-IT"/>
        </w:rPr>
        <w:t>r.l</w:t>
      </w:r>
      <w:proofErr w:type="spellEnd"/>
      <w:r w:rsidRPr="005D4A03">
        <w:rPr>
          <w:rFonts w:eastAsia="Times New Roman" w:cstheme="minorHAnsi"/>
          <w:color w:val="3D3B39"/>
          <w:sz w:val="20"/>
          <w:szCs w:val="20"/>
          <w:lang w:eastAsia="it-IT"/>
        </w:rPr>
        <w:t xml:space="preserve">., (mandante), rappresentata e difesa dagli avvocati Antonello Rossi, Luisa </w:t>
      </w:r>
      <w:proofErr w:type="spellStart"/>
      <w:r w:rsidRPr="005D4A03">
        <w:rPr>
          <w:rFonts w:eastAsia="Times New Roman" w:cstheme="minorHAnsi"/>
          <w:color w:val="3D3B39"/>
          <w:sz w:val="20"/>
          <w:szCs w:val="20"/>
          <w:lang w:eastAsia="it-IT"/>
        </w:rPr>
        <w:t>Giua</w:t>
      </w:r>
      <w:proofErr w:type="spellEnd"/>
      <w:r w:rsidRPr="005D4A03">
        <w:rPr>
          <w:rFonts w:eastAsia="Times New Roman" w:cstheme="minorHAnsi"/>
          <w:color w:val="3D3B39"/>
          <w:sz w:val="20"/>
          <w:szCs w:val="20"/>
          <w:lang w:eastAsia="it-IT"/>
        </w:rPr>
        <w:t xml:space="preserve"> Marassi e Roberta Patrizia </w:t>
      </w:r>
      <w:proofErr w:type="spellStart"/>
      <w:r w:rsidRPr="005D4A03">
        <w:rPr>
          <w:rFonts w:eastAsia="Times New Roman" w:cstheme="minorHAnsi"/>
          <w:color w:val="3D3B39"/>
          <w:sz w:val="20"/>
          <w:szCs w:val="20"/>
          <w:lang w:eastAsia="it-IT"/>
        </w:rPr>
        <w:t>Giannotte</w:t>
      </w:r>
      <w:proofErr w:type="spellEnd"/>
      <w:r w:rsidRPr="005D4A03">
        <w:rPr>
          <w:rFonts w:eastAsia="Times New Roman" w:cstheme="minorHAnsi"/>
          <w:color w:val="3D3B39"/>
          <w:sz w:val="20"/>
          <w:szCs w:val="20"/>
          <w:lang w:eastAsia="it-IT"/>
        </w:rPr>
        <w:t xml:space="preserve">, con domicilio digitale come da PEC da Registri di Giustizia e domicilio eletto presso il loro studio in Cagliari, via Ada Negri n° 32;  </w:t>
      </w:r>
      <w:r w:rsidRPr="005D4A03">
        <w:rPr>
          <w:rFonts w:eastAsia="Times New Roman" w:cstheme="minorHAnsi"/>
          <w:color w:val="3D3B39"/>
          <w:sz w:val="20"/>
          <w:szCs w:val="20"/>
          <w:lang w:eastAsia="it-IT"/>
        </w:rPr>
        <w:br/>
      </w:r>
      <w:r w:rsidRPr="005D4A03">
        <w:rPr>
          <w:rFonts w:eastAsia="Times New Roman" w:cstheme="minorHAnsi"/>
          <w:b/>
          <w:bCs/>
          <w:i/>
          <w:iCs/>
          <w:color w:val="3D3B39"/>
          <w:sz w:val="20"/>
          <w:szCs w:val="20"/>
          <w:lang w:eastAsia="it-IT"/>
        </w:rPr>
        <w:t>contro</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t xml:space="preserve">Comune di Ghilarza, in persona del Sindaco pro tempore, rappresentato e difeso dagli avvocati Roberta </w:t>
      </w:r>
      <w:proofErr w:type="spellStart"/>
      <w:r w:rsidRPr="005D4A03">
        <w:rPr>
          <w:rFonts w:eastAsia="Times New Roman" w:cstheme="minorHAnsi"/>
          <w:color w:val="3D3B39"/>
          <w:sz w:val="20"/>
          <w:szCs w:val="20"/>
          <w:lang w:eastAsia="it-IT"/>
        </w:rPr>
        <w:t>Bertolani</w:t>
      </w:r>
      <w:proofErr w:type="spellEnd"/>
      <w:r w:rsidRPr="005D4A03">
        <w:rPr>
          <w:rFonts w:eastAsia="Times New Roman" w:cstheme="minorHAnsi"/>
          <w:color w:val="3D3B39"/>
          <w:sz w:val="20"/>
          <w:szCs w:val="20"/>
          <w:lang w:eastAsia="it-IT"/>
        </w:rPr>
        <w:t xml:space="preserve">, Mirko La Terra Bellina, Alberto Ponti e Debora </w:t>
      </w:r>
      <w:proofErr w:type="spellStart"/>
      <w:r w:rsidRPr="005D4A03">
        <w:rPr>
          <w:rFonts w:eastAsia="Times New Roman" w:cstheme="minorHAnsi"/>
          <w:color w:val="3D3B39"/>
          <w:sz w:val="20"/>
          <w:szCs w:val="20"/>
          <w:lang w:eastAsia="it-IT"/>
        </w:rPr>
        <w:t>Urru</w:t>
      </w:r>
      <w:proofErr w:type="spellEnd"/>
      <w:r w:rsidRPr="005D4A03">
        <w:rPr>
          <w:rFonts w:eastAsia="Times New Roman" w:cstheme="minorHAnsi"/>
          <w:color w:val="3D3B39"/>
          <w:sz w:val="20"/>
          <w:szCs w:val="20"/>
          <w:lang w:eastAsia="it-IT"/>
        </w:rPr>
        <w:t xml:space="preserve">, con domicilio digitale come da PEC da Registri di Giustizia e domicilio eletto presso lo studio dell’avv. Debora </w:t>
      </w:r>
      <w:proofErr w:type="spellStart"/>
      <w:r w:rsidRPr="005D4A03">
        <w:rPr>
          <w:rFonts w:eastAsia="Times New Roman" w:cstheme="minorHAnsi"/>
          <w:color w:val="3D3B39"/>
          <w:sz w:val="20"/>
          <w:szCs w:val="20"/>
          <w:lang w:eastAsia="it-IT"/>
        </w:rPr>
        <w:t>Urru</w:t>
      </w:r>
      <w:proofErr w:type="spellEnd"/>
      <w:r w:rsidRPr="005D4A03">
        <w:rPr>
          <w:rFonts w:eastAsia="Times New Roman" w:cstheme="minorHAnsi"/>
          <w:color w:val="3D3B39"/>
          <w:sz w:val="20"/>
          <w:szCs w:val="20"/>
          <w:lang w:eastAsia="it-IT"/>
        </w:rPr>
        <w:t xml:space="preserve"> in Cagliari, via Farina n. 44; </w:t>
      </w:r>
      <w:r w:rsidRPr="005D4A03">
        <w:rPr>
          <w:rFonts w:eastAsia="Times New Roman" w:cstheme="minorHAnsi"/>
          <w:color w:val="3D3B39"/>
          <w:sz w:val="20"/>
          <w:szCs w:val="20"/>
          <w:lang w:eastAsia="it-IT"/>
        </w:rPr>
        <w:br/>
      </w:r>
      <w:r w:rsidRPr="005D4A03">
        <w:rPr>
          <w:rFonts w:eastAsia="Times New Roman" w:cstheme="minorHAnsi"/>
          <w:b/>
          <w:bCs/>
          <w:i/>
          <w:iCs/>
          <w:color w:val="3D3B39"/>
          <w:sz w:val="20"/>
          <w:szCs w:val="20"/>
          <w:lang w:eastAsia="it-IT"/>
        </w:rPr>
        <w:t>nei confronti</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t xml:space="preserve">Cooperativa Sociale A.D.A. , in proprio e in qualità di mandataria R.T.I. </w:t>
      </w:r>
      <w:proofErr w:type="spellStart"/>
      <w:r w:rsidRPr="005D4A03">
        <w:rPr>
          <w:rFonts w:eastAsia="Times New Roman" w:cstheme="minorHAnsi"/>
          <w:color w:val="3D3B39"/>
          <w:sz w:val="20"/>
          <w:szCs w:val="20"/>
          <w:lang w:eastAsia="it-IT"/>
        </w:rPr>
        <w:t>Ighinos</w:t>
      </w:r>
      <w:proofErr w:type="spellEnd"/>
      <w:r w:rsidRPr="005D4A03">
        <w:rPr>
          <w:rFonts w:eastAsia="Times New Roman" w:cstheme="minorHAnsi"/>
          <w:color w:val="3D3B39"/>
          <w:sz w:val="20"/>
          <w:szCs w:val="20"/>
          <w:lang w:eastAsia="it-IT"/>
        </w:rPr>
        <w:t xml:space="preserve"> non costituito in giudizio;  </w:t>
      </w:r>
      <w:r w:rsidRPr="005D4A03">
        <w:rPr>
          <w:rFonts w:eastAsia="Times New Roman" w:cstheme="minorHAnsi"/>
          <w:color w:val="3D3B39"/>
          <w:sz w:val="20"/>
          <w:szCs w:val="20"/>
          <w:lang w:eastAsia="it-IT"/>
        </w:rPr>
        <w:br/>
      </w:r>
      <w:r w:rsidRPr="005D4A03">
        <w:rPr>
          <w:rFonts w:eastAsia="Times New Roman" w:cstheme="minorHAnsi"/>
          <w:b/>
          <w:bCs/>
          <w:i/>
          <w:iCs/>
          <w:color w:val="3D3B39"/>
          <w:sz w:val="20"/>
          <w:szCs w:val="20"/>
          <w:lang w:eastAsia="it-IT"/>
        </w:rPr>
        <w:t>per l'annullamento:</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t xml:space="preserve">- della determinazione n° 5 del 30.1.2018, comunicata con nota </w:t>
      </w:r>
      <w:proofErr w:type="spellStart"/>
      <w:r w:rsidRPr="005D4A03">
        <w:rPr>
          <w:rFonts w:eastAsia="Times New Roman" w:cstheme="minorHAnsi"/>
          <w:color w:val="3D3B39"/>
          <w:sz w:val="20"/>
          <w:szCs w:val="20"/>
          <w:lang w:eastAsia="it-IT"/>
        </w:rPr>
        <w:t>p.e.c</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prot</w:t>
      </w:r>
      <w:proofErr w:type="spellEnd"/>
      <w:r w:rsidRPr="005D4A03">
        <w:rPr>
          <w:rFonts w:eastAsia="Times New Roman" w:cstheme="minorHAnsi"/>
          <w:color w:val="3D3B39"/>
          <w:sz w:val="20"/>
          <w:szCs w:val="20"/>
          <w:lang w:eastAsia="it-IT"/>
        </w:rPr>
        <w:t xml:space="preserve">. n. 1697 del 1.2.2018 (che pure espressamente si impugna), con la quale il Responsabile del Settore Servizi alla Persona del Comune di Ghilarza, previo annullamento della determinazione n. 93/768-2017, ha escluso dalla gara il costituendo </w:t>
      </w:r>
      <w:proofErr w:type="spellStart"/>
      <w:r w:rsidRPr="005D4A03">
        <w:rPr>
          <w:rFonts w:eastAsia="Times New Roman" w:cstheme="minorHAnsi"/>
          <w:color w:val="3D3B39"/>
          <w:sz w:val="20"/>
          <w:szCs w:val="20"/>
          <w:lang w:eastAsia="it-IT"/>
        </w:rPr>
        <w:t>R.t.i</w:t>
      </w:r>
      <w:proofErr w:type="spellEnd"/>
      <w:r w:rsidRPr="005D4A03">
        <w:rPr>
          <w:rFonts w:eastAsia="Times New Roman" w:cstheme="minorHAnsi"/>
          <w:color w:val="3D3B39"/>
          <w:sz w:val="20"/>
          <w:szCs w:val="20"/>
          <w:lang w:eastAsia="it-IT"/>
        </w:rPr>
        <w:t xml:space="preserve">. La Clessidra, determinato di provvedere allo scorrimento della graduatoria e, contestualmente, ha aggiudicato definitivamente la gara al Raggruppamento Temporaneo d'Impresa </w:t>
      </w:r>
      <w:proofErr w:type="spellStart"/>
      <w:r w:rsidRPr="005D4A03">
        <w:rPr>
          <w:rFonts w:eastAsia="Times New Roman" w:cstheme="minorHAnsi"/>
          <w:color w:val="3D3B39"/>
          <w:sz w:val="20"/>
          <w:szCs w:val="20"/>
          <w:lang w:eastAsia="it-IT"/>
        </w:rPr>
        <w:t>Ighinos</w:t>
      </w:r>
      <w:proofErr w:type="spellEnd"/>
      <w:r w:rsidRPr="005D4A03">
        <w:rPr>
          <w:rFonts w:eastAsia="Times New Roman" w:cstheme="minorHAnsi"/>
          <w:color w:val="3D3B39"/>
          <w:sz w:val="20"/>
          <w:szCs w:val="20"/>
          <w:lang w:eastAsia="it-IT"/>
        </w:rPr>
        <w:t xml:space="preserve"> con mandataria la Cooperativa A.D.A. di Ghilarza; </w:t>
      </w:r>
      <w:r w:rsidRPr="005D4A03">
        <w:rPr>
          <w:rFonts w:eastAsia="Times New Roman" w:cstheme="minorHAnsi"/>
          <w:color w:val="3D3B39"/>
          <w:sz w:val="20"/>
          <w:szCs w:val="20"/>
          <w:lang w:eastAsia="it-IT"/>
        </w:rPr>
        <w:br/>
        <w:t xml:space="preserve">- ove occorra, del presupposto verbale di gara n. 3 del 4.12.2017 nella parte in cui la Commissione di gara ha evidenziato che nel piano di ripartizione dei costi presentato dal ricorrente ‘non sono presenti gli oneri relativi alla sicurezza'; </w:t>
      </w:r>
      <w:r w:rsidRPr="005D4A03">
        <w:rPr>
          <w:rFonts w:eastAsia="Times New Roman" w:cstheme="minorHAnsi"/>
          <w:color w:val="3D3B39"/>
          <w:sz w:val="20"/>
          <w:szCs w:val="20"/>
          <w:lang w:eastAsia="it-IT"/>
        </w:rPr>
        <w:br/>
        <w:t xml:space="preserve">- di ogni atto presupposto, conseguente o comunque collegato nonché di qualsiasi atto medio tempore adottato, con riserva di motivi aggiunti; </w:t>
      </w:r>
      <w:r w:rsidRPr="005D4A03">
        <w:rPr>
          <w:rFonts w:eastAsia="Times New Roman" w:cstheme="minorHAnsi"/>
          <w:color w:val="3D3B39"/>
          <w:sz w:val="20"/>
          <w:szCs w:val="20"/>
          <w:lang w:eastAsia="it-IT"/>
        </w:rPr>
        <w:br/>
        <w:t xml:space="preserve">NONCHÉ, </w:t>
      </w:r>
      <w:r w:rsidRPr="005D4A03">
        <w:rPr>
          <w:rFonts w:eastAsia="Times New Roman" w:cstheme="minorHAnsi"/>
          <w:color w:val="3D3B39"/>
          <w:sz w:val="20"/>
          <w:szCs w:val="20"/>
          <w:lang w:eastAsia="it-IT"/>
        </w:rPr>
        <w:br/>
        <w:t xml:space="preserve">- per la declaratoria di inefficacia del contratto d'appalto, eventualmente medio tempore stipulato tra il Comune di Ghilarza e il </w:t>
      </w:r>
      <w:proofErr w:type="spellStart"/>
      <w:r w:rsidRPr="005D4A03">
        <w:rPr>
          <w:rFonts w:eastAsia="Times New Roman" w:cstheme="minorHAnsi"/>
          <w:color w:val="3D3B39"/>
          <w:sz w:val="20"/>
          <w:szCs w:val="20"/>
          <w:lang w:eastAsia="it-IT"/>
        </w:rPr>
        <w:t>R.t.i</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Ighinos</w:t>
      </w:r>
      <w:proofErr w:type="spellEnd"/>
      <w:r w:rsidRPr="005D4A03">
        <w:rPr>
          <w:rFonts w:eastAsia="Times New Roman" w:cstheme="minorHAnsi"/>
          <w:color w:val="3D3B39"/>
          <w:sz w:val="20"/>
          <w:szCs w:val="20"/>
          <w:lang w:eastAsia="it-IT"/>
        </w:rPr>
        <w:t xml:space="preserve"> con mandataria la Cooperativa A.D.A. di Ghilarza, nonché per conseguire l'aggiudicazione dell'appalto in forma specifica, con la declaratoria del diritto del </w:t>
      </w:r>
      <w:proofErr w:type="spellStart"/>
      <w:r w:rsidRPr="005D4A03">
        <w:rPr>
          <w:rFonts w:eastAsia="Times New Roman" w:cstheme="minorHAnsi"/>
          <w:color w:val="3D3B39"/>
          <w:sz w:val="20"/>
          <w:szCs w:val="20"/>
          <w:lang w:eastAsia="it-IT"/>
        </w:rPr>
        <w:t>R.t.i</w:t>
      </w:r>
      <w:proofErr w:type="spellEnd"/>
      <w:r w:rsidRPr="005D4A03">
        <w:rPr>
          <w:rFonts w:eastAsia="Times New Roman" w:cstheme="minorHAnsi"/>
          <w:color w:val="3D3B39"/>
          <w:sz w:val="20"/>
          <w:szCs w:val="20"/>
          <w:lang w:eastAsia="it-IT"/>
        </w:rPr>
        <w:t xml:space="preserve">. La Clessidra a conseguire l'aggiudicazione dell'appalto di cui sopra; </w:t>
      </w:r>
      <w:r w:rsidRPr="005D4A03">
        <w:rPr>
          <w:rFonts w:eastAsia="Times New Roman" w:cstheme="minorHAnsi"/>
          <w:color w:val="3D3B39"/>
          <w:sz w:val="20"/>
          <w:szCs w:val="20"/>
          <w:lang w:eastAsia="it-IT"/>
        </w:rPr>
        <w:br/>
        <w:t xml:space="preserve">nonché, qualora non sia possibile il risarcimento in forma specifica, per la condanna dell'Amministrazione intimata al risarcimento per equivalente da determinarsi in misura pari al 15% del valore dell'appalto, ovvero in quella diversa somma che dovesse risultare in corso di causa o che il Giudice riterrà di stabilire in via equitativa, maggiorata di rivalutazione, interessi e maggior danno. </w:t>
      </w:r>
    </w:p>
    <w:p w:rsidR="00155B5E" w:rsidRPr="005D4A03" w:rsidRDefault="00155B5E" w:rsidP="00155B5E">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 xml:space="preserve">Visti il ricorso e i relativi allegati; </w:t>
      </w:r>
      <w:r w:rsidRPr="005D4A03">
        <w:rPr>
          <w:rFonts w:eastAsia="Times New Roman" w:cstheme="minorHAnsi"/>
          <w:color w:val="3D3B39"/>
          <w:sz w:val="20"/>
          <w:szCs w:val="20"/>
          <w:lang w:eastAsia="it-IT"/>
        </w:rPr>
        <w:br/>
        <w:t xml:space="preserve">Visto l'atto di costituzione in giudizio di Comune di Ghilarza; </w:t>
      </w:r>
      <w:r w:rsidRPr="005D4A03">
        <w:rPr>
          <w:rFonts w:eastAsia="Times New Roman" w:cstheme="minorHAnsi"/>
          <w:color w:val="3D3B39"/>
          <w:sz w:val="20"/>
          <w:szCs w:val="20"/>
          <w:lang w:eastAsia="it-IT"/>
        </w:rPr>
        <w:br/>
        <w:t xml:space="preserve">Visti tutti gli atti della causa; </w:t>
      </w:r>
      <w:r w:rsidRPr="005D4A03">
        <w:rPr>
          <w:rFonts w:eastAsia="Times New Roman" w:cstheme="minorHAnsi"/>
          <w:color w:val="3D3B39"/>
          <w:sz w:val="20"/>
          <w:szCs w:val="20"/>
          <w:lang w:eastAsia="it-IT"/>
        </w:rPr>
        <w:br/>
        <w:t xml:space="preserve">Relatore nell'udienza pubblica del giorno 16 maggio 2018 il dott. Giorgio Manca e uditi per le parti i difensori come specificato nel verbale; </w:t>
      </w:r>
      <w:r w:rsidRPr="005D4A03">
        <w:rPr>
          <w:rFonts w:eastAsia="Times New Roman" w:cstheme="minorHAnsi"/>
          <w:color w:val="3D3B39"/>
          <w:sz w:val="20"/>
          <w:szCs w:val="20"/>
          <w:lang w:eastAsia="it-IT"/>
        </w:rPr>
        <w:br/>
        <w:t xml:space="preserve">Ritenuto e considerato in fatto e diritto quanto segue. </w:t>
      </w:r>
    </w:p>
    <w:p w:rsidR="00155B5E" w:rsidRPr="005D4A03" w:rsidRDefault="00155B5E" w:rsidP="00155B5E">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FATTO e DIRITTO</w:t>
      </w:r>
    </w:p>
    <w:p w:rsidR="00155B5E" w:rsidRPr="005D4A03" w:rsidRDefault="00155B5E" w:rsidP="00155B5E">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1. - La società ricorrente ha partecipato, in raggruppamento temporaneo di imprese con </w:t>
      </w:r>
      <w:r w:rsidRPr="005D4A03">
        <w:rPr>
          <w:rFonts w:eastAsia="Times New Roman" w:cstheme="minorHAnsi"/>
          <w:i/>
          <w:iCs/>
          <w:color w:val="3D3B39"/>
          <w:sz w:val="20"/>
          <w:szCs w:val="20"/>
          <w:lang w:eastAsia="it-IT"/>
        </w:rPr>
        <w:t xml:space="preserve">Sinergie Società Coop. </w:t>
      </w:r>
      <w:proofErr w:type="spellStart"/>
      <w:r w:rsidRPr="005D4A03">
        <w:rPr>
          <w:rFonts w:eastAsia="Times New Roman" w:cstheme="minorHAnsi"/>
          <w:i/>
          <w:iCs/>
          <w:color w:val="3D3B39"/>
          <w:sz w:val="20"/>
          <w:szCs w:val="20"/>
          <w:lang w:eastAsia="it-IT"/>
        </w:rPr>
        <w:t>Soc</w:t>
      </w:r>
      <w:proofErr w:type="spellEnd"/>
      <w:r w:rsidRPr="005D4A03">
        <w:rPr>
          <w:rFonts w:eastAsia="Times New Roman" w:cstheme="minorHAnsi"/>
          <w:i/>
          <w:iCs/>
          <w:color w:val="3D3B39"/>
          <w:sz w:val="20"/>
          <w:szCs w:val="20"/>
          <w:lang w:eastAsia="it-IT"/>
        </w:rPr>
        <w:t xml:space="preserve">. </w:t>
      </w:r>
      <w:proofErr w:type="spellStart"/>
      <w:r w:rsidRPr="005D4A03">
        <w:rPr>
          <w:rFonts w:eastAsia="Times New Roman" w:cstheme="minorHAnsi"/>
          <w:i/>
          <w:iCs/>
          <w:color w:val="3D3B39"/>
          <w:sz w:val="20"/>
          <w:szCs w:val="20"/>
          <w:lang w:eastAsia="it-IT"/>
        </w:rPr>
        <w:t>Onlus</w:t>
      </w:r>
      <w:proofErr w:type="spellEnd"/>
      <w:r w:rsidRPr="005D4A03">
        <w:rPr>
          <w:rFonts w:eastAsia="Times New Roman" w:cstheme="minorHAnsi"/>
          <w:color w:val="3D3B39"/>
          <w:sz w:val="20"/>
          <w:szCs w:val="20"/>
          <w:lang w:eastAsia="it-IT"/>
        </w:rPr>
        <w:t> (mandante), </w:t>
      </w:r>
      <w:r w:rsidRPr="005D4A03">
        <w:rPr>
          <w:rFonts w:eastAsia="Times New Roman" w:cstheme="minorHAnsi"/>
          <w:i/>
          <w:iCs/>
          <w:color w:val="3D3B39"/>
          <w:sz w:val="20"/>
          <w:szCs w:val="20"/>
          <w:lang w:eastAsia="it-IT"/>
        </w:rPr>
        <w:t xml:space="preserve">Luoghi Comuni Società Coop. </w:t>
      </w:r>
      <w:proofErr w:type="spellStart"/>
      <w:r w:rsidRPr="005D4A03">
        <w:rPr>
          <w:rFonts w:eastAsia="Times New Roman" w:cstheme="minorHAnsi"/>
          <w:i/>
          <w:iCs/>
          <w:color w:val="3D3B39"/>
          <w:sz w:val="20"/>
          <w:szCs w:val="20"/>
          <w:lang w:eastAsia="it-IT"/>
        </w:rPr>
        <w:t>Soc</w:t>
      </w:r>
      <w:proofErr w:type="spellEnd"/>
      <w:r w:rsidRPr="005D4A03">
        <w:rPr>
          <w:rFonts w:eastAsia="Times New Roman" w:cstheme="minorHAnsi"/>
          <w:i/>
          <w:iCs/>
          <w:color w:val="3D3B39"/>
          <w:sz w:val="20"/>
          <w:szCs w:val="20"/>
          <w:lang w:eastAsia="it-IT"/>
        </w:rPr>
        <w:t xml:space="preserve">. </w:t>
      </w:r>
      <w:proofErr w:type="spellStart"/>
      <w:r w:rsidRPr="005D4A03">
        <w:rPr>
          <w:rFonts w:eastAsia="Times New Roman" w:cstheme="minorHAnsi"/>
          <w:i/>
          <w:iCs/>
          <w:color w:val="3D3B39"/>
          <w:sz w:val="20"/>
          <w:szCs w:val="20"/>
          <w:lang w:eastAsia="it-IT"/>
        </w:rPr>
        <w:t>Onlus</w:t>
      </w:r>
      <w:proofErr w:type="spellEnd"/>
      <w:r w:rsidRPr="005D4A03">
        <w:rPr>
          <w:rFonts w:eastAsia="Times New Roman" w:cstheme="minorHAnsi"/>
          <w:color w:val="3D3B39"/>
          <w:sz w:val="20"/>
          <w:szCs w:val="20"/>
          <w:lang w:eastAsia="it-IT"/>
        </w:rPr>
        <w:t> (mandante) e </w:t>
      </w:r>
      <w:r w:rsidRPr="005D4A03">
        <w:rPr>
          <w:rFonts w:eastAsia="Times New Roman" w:cstheme="minorHAnsi"/>
          <w:i/>
          <w:iCs/>
          <w:color w:val="3D3B39"/>
          <w:sz w:val="20"/>
          <w:szCs w:val="20"/>
          <w:lang w:eastAsia="it-IT"/>
        </w:rPr>
        <w:t xml:space="preserve">Sirone Società Coop. a </w:t>
      </w:r>
      <w:proofErr w:type="spellStart"/>
      <w:r w:rsidRPr="005D4A03">
        <w:rPr>
          <w:rFonts w:eastAsia="Times New Roman" w:cstheme="minorHAnsi"/>
          <w:i/>
          <w:iCs/>
          <w:color w:val="3D3B39"/>
          <w:sz w:val="20"/>
          <w:szCs w:val="20"/>
          <w:lang w:eastAsia="it-IT"/>
        </w:rPr>
        <w:t>r.l</w:t>
      </w:r>
      <w:proofErr w:type="spellEnd"/>
      <w:r w:rsidRPr="005D4A03">
        <w:rPr>
          <w:rFonts w:eastAsia="Times New Roman" w:cstheme="minorHAnsi"/>
          <w:i/>
          <w:iCs/>
          <w:color w:val="3D3B39"/>
          <w:sz w:val="20"/>
          <w:szCs w:val="20"/>
          <w:lang w:eastAsia="it-IT"/>
        </w:rPr>
        <w:t>.</w:t>
      </w:r>
      <w:r w:rsidRPr="005D4A03">
        <w:rPr>
          <w:rFonts w:eastAsia="Times New Roman" w:cstheme="minorHAnsi"/>
          <w:color w:val="3D3B39"/>
          <w:sz w:val="20"/>
          <w:szCs w:val="20"/>
          <w:lang w:eastAsia="it-IT"/>
        </w:rPr>
        <w:t> (mandante), alla </w:t>
      </w:r>
      <w:r w:rsidRPr="005D4A03">
        <w:rPr>
          <w:rFonts w:eastAsia="Times New Roman" w:cstheme="minorHAnsi"/>
          <w:i/>
          <w:iCs/>
          <w:color w:val="3D3B39"/>
          <w:sz w:val="20"/>
          <w:szCs w:val="20"/>
          <w:lang w:eastAsia="it-IT"/>
        </w:rPr>
        <w:t>«Procedura aperta per la conclusione di un accordo quadro per l’affidamento dei servizi relativi all’area minori e famiglie per i Comuni del Plus del Distretto Ghilarza-Bosa»</w:t>
      </w:r>
      <w:r w:rsidRPr="005D4A03">
        <w:rPr>
          <w:rFonts w:eastAsia="Times New Roman" w:cstheme="minorHAnsi"/>
          <w:color w:val="3D3B39"/>
          <w:sz w:val="20"/>
          <w:szCs w:val="20"/>
          <w:lang w:eastAsia="it-IT"/>
        </w:rPr>
        <w:t xml:space="preserve">. All’esito delle operazioni di gara, con determinazione del </w:t>
      </w:r>
      <w:r w:rsidRPr="005D4A03">
        <w:rPr>
          <w:rFonts w:eastAsia="Times New Roman" w:cstheme="minorHAnsi"/>
          <w:color w:val="3D3B39"/>
          <w:sz w:val="20"/>
          <w:szCs w:val="20"/>
          <w:lang w:eastAsia="it-IT"/>
        </w:rPr>
        <w:lastRenderedPageBreak/>
        <w:t xml:space="preserve">Responsabile del Settore n. 93 del 21 dicembre 2017, i servizi sono stati aggiudicati al ricorrente. </w:t>
      </w:r>
      <w:r w:rsidRPr="005D4A03">
        <w:rPr>
          <w:rFonts w:eastAsia="Times New Roman" w:cstheme="minorHAnsi"/>
          <w:color w:val="3D3B39"/>
          <w:sz w:val="20"/>
          <w:szCs w:val="20"/>
          <w:lang w:eastAsia="it-IT"/>
        </w:rPr>
        <w:br/>
        <w:t>Con la determinazione n. 5 del 30 gennaio 2018, previo annullamento d’ufficio del provvedimento di aggiudicazione sopra richiamato, il responsabile del settore Servizi alla Persona del Comune di Ghilarza ha escluso dalla gara il costituendo </w:t>
      </w:r>
      <w:r w:rsidRPr="005D4A03">
        <w:rPr>
          <w:rFonts w:eastAsia="Times New Roman" w:cstheme="minorHAnsi"/>
          <w:i/>
          <w:iCs/>
          <w:color w:val="3D3B39"/>
          <w:sz w:val="20"/>
          <w:szCs w:val="20"/>
          <w:lang w:eastAsia="it-IT"/>
        </w:rPr>
        <w:t>R.T.I. La Clessidra</w:t>
      </w:r>
      <w:r w:rsidRPr="005D4A03">
        <w:rPr>
          <w:rFonts w:eastAsia="Times New Roman" w:cstheme="minorHAnsi"/>
          <w:color w:val="3D3B39"/>
          <w:sz w:val="20"/>
          <w:szCs w:val="20"/>
          <w:lang w:eastAsia="it-IT"/>
        </w:rPr>
        <w:t xml:space="preserve">, ha disposto lo scorrimento della graduatoria e, contestualmente, ha aggiudicato definitivamente la gara al R.T.I. </w:t>
      </w:r>
      <w:proofErr w:type="spellStart"/>
      <w:r w:rsidRPr="005D4A03">
        <w:rPr>
          <w:rFonts w:eastAsia="Times New Roman" w:cstheme="minorHAnsi"/>
          <w:color w:val="3D3B39"/>
          <w:sz w:val="20"/>
          <w:szCs w:val="20"/>
          <w:lang w:eastAsia="it-IT"/>
        </w:rPr>
        <w:t>Ighinos</w:t>
      </w:r>
      <w:proofErr w:type="spellEnd"/>
      <w:r w:rsidRPr="005D4A03">
        <w:rPr>
          <w:rFonts w:eastAsia="Times New Roman" w:cstheme="minorHAnsi"/>
          <w:color w:val="3D3B39"/>
          <w:sz w:val="20"/>
          <w:szCs w:val="20"/>
          <w:lang w:eastAsia="it-IT"/>
        </w:rPr>
        <w:t xml:space="preserve"> (con mandataria la Cooperativa A.D.A. di Ghilarza). </w:t>
      </w:r>
      <w:r w:rsidRPr="005D4A03">
        <w:rPr>
          <w:rFonts w:eastAsia="Times New Roman" w:cstheme="minorHAnsi"/>
          <w:color w:val="3D3B39"/>
          <w:sz w:val="20"/>
          <w:szCs w:val="20"/>
          <w:lang w:eastAsia="it-IT"/>
        </w:rPr>
        <w:br/>
        <w:t>2. - L’esclusione è stata motivata con l’omessa indicazione, nell’offerta economica, degli oneri relativi alla sicurezza, qualificando detta omissione come carenza sostanziale, non sanabile mediante soccorso istruttorio; nonché, sulla scorta del rilievo che </w:t>
      </w:r>
      <w:r w:rsidRPr="005D4A03">
        <w:rPr>
          <w:rFonts w:eastAsia="Times New Roman" w:cstheme="minorHAnsi"/>
          <w:i/>
          <w:iCs/>
          <w:color w:val="3D3B39"/>
          <w:sz w:val="20"/>
          <w:szCs w:val="20"/>
          <w:lang w:eastAsia="it-IT"/>
        </w:rPr>
        <w:t xml:space="preserve">«il bando di gara, al paragrafo 10 </w:t>
      </w:r>
      <w:proofErr w:type="spellStart"/>
      <w:r w:rsidRPr="005D4A03">
        <w:rPr>
          <w:rFonts w:eastAsia="Times New Roman" w:cstheme="minorHAnsi"/>
          <w:i/>
          <w:iCs/>
          <w:color w:val="3D3B39"/>
          <w:sz w:val="20"/>
          <w:szCs w:val="20"/>
          <w:lang w:eastAsia="it-IT"/>
        </w:rPr>
        <w:t>lett</w:t>
      </w:r>
      <w:proofErr w:type="spellEnd"/>
      <w:r w:rsidRPr="005D4A03">
        <w:rPr>
          <w:rFonts w:eastAsia="Times New Roman" w:cstheme="minorHAnsi"/>
          <w:i/>
          <w:iCs/>
          <w:color w:val="3D3B39"/>
          <w:sz w:val="20"/>
          <w:szCs w:val="20"/>
          <w:lang w:eastAsia="it-IT"/>
        </w:rPr>
        <w:t>. c) prevedeva che ciascun concorrente allegasse il piano di ripartizione dei costi, contenente il dettaglio delle varie voci di spesa e che, il raggruppamento temporaneo di imprese, con mandataria la Clessidra, nel ricostruire i costi contemplati nella propria offerta ha evidenziato solo ed esclusivamente i costi del personale, di materiali ed attrezzature, i costi amministrativi, oneri di gestione e utile di impresa, senza considerare i costi derivanti dal doveroso adempimento degli obblighi di sicurezza a tutela dei lavoratori, pur avendo dettagliato tutti gli ulteriori costi che gravano sulla commessa»</w:t>
      </w:r>
      <w:r w:rsidRPr="005D4A03">
        <w:rPr>
          <w:rFonts w:eastAsia="Times New Roman" w:cstheme="minorHAnsi"/>
          <w:color w:val="3D3B39"/>
          <w:sz w:val="20"/>
          <w:szCs w:val="20"/>
          <w:lang w:eastAsia="it-IT"/>
        </w:rPr>
        <w:t xml:space="preserve">, per cui il soccorso istruttorio sarebbe stato inammissibile perché avrebbe comportato la modifica dell’offerta economica. </w:t>
      </w:r>
      <w:r w:rsidRPr="005D4A03">
        <w:rPr>
          <w:rFonts w:eastAsia="Times New Roman" w:cstheme="minorHAnsi"/>
          <w:color w:val="3D3B39"/>
          <w:sz w:val="20"/>
          <w:szCs w:val="20"/>
          <w:lang w:eastAsia="it-IT"/>
        </w:rPr>
        <w:br/>
        <w:t>3. - Con il ricorso in esame, la ricorrente chiede l’annullamento del predetto provvedimento di esclusione, nonché degli altri atti della procedura meglio indicati in epigrafe (e, in particolare, del verbale di gara n. 3 del 4 dicembre 2017, nella parte in cui la commissione di gara ha evidenziato che nel piano di ripartizione dei costi presentato dal costituendo raggruppamento </w:t>
      </w:r>
      <w:r w:rsidRPr="005D4A03">
        <w:rPr>
          <w:rFonts w:eastAsia="Times New Roman" w:cstheme="minorHAnsi"/>
          <w:i/>
          <w:iCs/>
          <w:color w:val="3D3B39"/>
          <w:sz w:val="20"/>
          <w:szCs w:val="20"/>
          <w:lang w:eastAsia="it-IT"/>
        </w:rPr>
        <w:t>«non sono presenti gli oneri relativi alla sicurezza»</w:t>
      </w:r>
      <w:r w:rsidRPr="005D4A03">
        <w:rPr>
          <w:rFonts w:eastAsia="Times New Roman" w:cstheme="minorHAnsi"/>
          <w:color w:val="3D3B39"/>
          <w:sz w:val="20"/>
          <w:szCs w:val="20"/>
          <w:lang w:eastAsia="it-IT"/>
        </w:rPr>
        <w:t xml:space="preserve">), deducendo plurimi motivi che saranno esaminati nella parte in diritto. </w:t>
      </w:r>
      <w:r w:rsidRPr="005D4A03">
        <w:rPr>
          <w:rFonts w:eastAsia="Times New Roman" w:cstheme="minorHAnsi"/>
          <w:color w:val="3D3B39"/>
          <w:sz w:val="20"/>
          <w:szCs w:val="20"/>
          <w:lang w:eastAsia="it-IT"/>
        </w:rPr>
        <w:br/>
        <w:t xml:space="preserve">4. - Si è costituito in giudizio il Comune di Ghilarza, chiedendo che il ricorso sia respinto. </w:t>
      </w:r>
      <w:r w:rsidRPr="005D4A03">
        <w:rPr>
          <w:rFonts w:eastAsia="Times New Roman" w:cstheme="minorHAnsi"/>
          <w:color w:val="3D3B39"/>
          <w:sz w:val="20"/>
          <w:szCs w:val="20"/>
          <w:lang w:eastAsia="it-IT"/>
        </w:rPr>
        <w:br/>
        <w:t xml:space="preserve">5. - All’udienza pubblica del 16 maggio 2018, la causa è stata trattenuta in decisione. </w:t>
      </w:r>
      <w:r w:rsidRPr="005D4A03">
        <w:rPr>
          <w:rFonts w:eastAsia="Times New Roman" w:cstheme="minorHAnsi"/>
          <w:color w:val="3D3B39"/>
          <w:sz w:val="20"/>
          <w:szCs w:val="20"/>
          <w:lang w:eastAsia="it-IT"/>
        </w:rPr>
        <w:br/>
        <w:t xml:space="preserve">6. - Con il primo motivo, la ricorrente lamenta la violazione dell’art. 7, della legge n. 241/1990, nonché difetto di istruttoria e di motivazione, per l’omessa comunicazione dell’avvio del procedimento di annullamento in autotutela dell’aggiudicazione disposta con la determinazione del Responsabile del Settore n. 93 del 21 dicembre 2017. Dall’omessa comunicazione di avvio è derivata, inoltre, la violazione del diritto della società di poter interloquire con l'Amministrazione, rappresentando fatti e prospettando osservazioni e valutazioni finalizzate alla migliore individuazione dell'interesse pubblico e alla ponderazione dello stesso con quello privato. </w:t>
      </w:r>
      <w:r w:rsidRPr="005D4A03">
        <w:rPr>
          <w:rFonts w:eastAsia="Times New Roman" w:cstheme="minorHAnsi"/>
          <w:color w:val="3D3B39"/>
          <w:sz w:val="20"/>
          <w:szCs w:val="20"/>
          <w:lang w:eastAsia="it-IT"/>
        </w:rPr>
        <w:br/>
        <w:t xml:space="preserve">7. - Con il secondo motivo, denunciando la violazione della </w:t>
      </w:r>
      <w:proofErr w:type="spellStart"/>
      <w:r w:rsidRPr="005D4A03">
        <w:rPr>
          <w:rFonts w:eastAsia="Times New Roman" w:cstheme="minorHAnsi"/>
          <w:color w:val="3D3B39"/>
          <w:sz w:val="20"/>
          <w:szCs w:val="20"/>
          <w:lang w:eastAsia="it-IT"/>
        </w:rPr>
        <w:t>lex</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specialis</w:t>
      </w:r>
      <w:proofErr w:type="spellEnd"/>
      <w:r w:rsidRPr="005D4A03">
        <w:rPr>
          <w:rFonts w:eastAsia="Times New Roman" w:cstheme="minorHAnsi"/>
          <w:color w:val="3D3B39"/>
          <w:sz w:val="20"/>
          <w:szCs w:val="20"/>
          <w:lang w:eastAsia="it-IT"/>
        </w:rPr>
        <w:t xml:space="preserve"> di gara, la violazione degli articoli 95, comma 10, e 83, comma 9, del d.lgs. n. 50/2016, nonché la violazione del principio di tassatività delle cause di esclusione, la ricorrente rileva che né il bando di gara né il modulo prescritto per la presentazione dell’offerta, prevedevano la separata indicazione degli oneri di sicurezza aziendali. Inoltre, anche in giurisprudenza sussistono incertezze sulle conseguenze derivanti dalla omessa indicazione degli oneri in questione. </w:t>
      </w:r>
      <w:r w:rsidRPr="005D4A03">
        <w:rPr>
          <w:rFonts w:eastAsia="Times New Roman" w:cstheme="minorHAnsi"/>
          <w:color w:val="3D3B39"/>
          <w:sz w:val="20"/>
          <w:szCs w:val="20"/>
          <w:lang w:eastAsia="it-IT"/>
        </w:rPr>
        <w:br/>
        <w:t xml:space="preserve">Pertanto, secondo la società ricorrente, l’amministrazione appaltante avrebbe dovuto attivare la procedura di soccorso istruttorio, prima di disporre l’esclusione dell’offerta della ricorrente dalla gara. Sotto questo profilo, richiama il consistente orientamento giurisprudenziale che ammette il soccorso istruttorio anche per sanare l’omessa indicazione separata degli oneri di sicurezza, anche allo scopo di verificare se l’offerente avesse effettivamente omesso di considerare l’ammontare degli oneri di sicurezza aziendale, ovvero avesse semplicemente omesso di indicarli separatamente nell’offerta economica; disponendo l’esclusione solo nel primo caso. Sottolinea la ricorrente come l’offerta economica presentata dal raggruppamento La Clessidra ricomprendesse anche i costi afferenti alla sicurezza (€ 25.000,00 per il Lotto 1; € 11.000,00 per il Lotto 2; € 1.500,00 per il Lotto 3). </w:t>
      </w:r>
      <w:r w:rsidRPr="005D4A03">
        <w:rPr>
          <w:rFonts w:eastAsia="Times New Roman" w:cstheme="minorHAnsi"/>
          <w:color w:val="3D3B39"/>
          <w:sz w:val="20"/>
          <w:szCs w:val="20"/>
          <w:lang w:eastAsia="it-IT"/>
        </w:rPr>
        <w:br/>
        <w:t xml:space="preserve">8. - In conformità a quanto prospettato dalla ricorrente, circa il suo preminente interesse a ottenere una pronuncia che valuti nel merito l’illegittimità degli atti impugnati (pag. 6 del ricorso), l’esame dei motivi deve muovere dalle censure relative alla sola ragione in base alla quale l’amministrazione comunale ha annullato l’aggiudicazione definitiva e ha disposto l’esclusione dalla procedura di gara, ossia l’omessa indicazione separata degli oneri di sicurezza aziendali nell’ambito dell’offerta economica. </w:t>
      </w:r>
      <w:r w:rsidRPr="005D4A03">
        <w:rPr>
          <w:rFonts w:eastAsia="Times New Roman" w:cstheme="minorHAnsi"/>
          <w:color w:val="3D3B39"/>
          <w:sz w:val="20"/>
          <w:szCs w:val="20"/>
          <w:lang w:eastAsia="it-IT"/>
        </w:rPr>
        <w:br/>
        <w:t xml:space="preserve">9. - Sul punto peraltro il Collegio non ritiene di doversi discostare da quanto statuito in recenti e analoghe occasioni, in cui si è osservato come, a seguito della entrata in vigore del d.lgs. n. 50 del 2016 (nuovo codice degli appalti), «deve ritenersi che il mancato rispetto dell’obbligo espressamente previsto dall’art. 95, comma 10, dello stesso codice, di indicare nell’offerta economica gli oneri di sicurezza c.d. aziendali o interni, comporta l’esclusione automatica dalla gara, senza che possa invocarsi la possibilità di far ricorso al c.d. soccorso istruttorio. Con l’entrata in vigore del d.lgs. 18 aprile 2016, n. 50 è stata superata ogni incertezza interpretativa, nel senso dell’inderogabilità dell’obbligo derivante dall’art. 95, comma 10. In presenza di una esplicita disposizione di legge, è del tutto irrilevante se né la </w:t>
      </w:r>
      <w:proofErr w:type="spellStart"/>
      <w:r w:rsidRPr="005D4A03">
        <w:rPr>
          <w:rFonts w:eastAsia="Times New Roman" w:cstheme="minorHAnsi"/>
          <w:color w:val="3D3B39"/>
          <w:sz w:val="20"/>
          <w:szCs w:val="20"/>
          <w:lang w:eastAsia="it-IT"/>
        </w:rPr>
        <w:t>lex</w:t>
      </w:r>
      <w:proofErr w:type="spellEnd"/>
      <w:r w:rsidRPr="005D4A03">
        <w:rPr>
          <w:rFonts w:eastAsia="Times New Roman" w:cstheme="minorHAnsi"/>
          <w:color w:val="3D3B39"/>
          <w:sz w:val="20"/>
          <w:szCs w:val="20"/>
          <w:lang w:eastAsia="it-IT"/>
        </w:rPr>
        <w:t xml:space="preserve"> </w:t>
      </w:r>
      <w:proofErr w:type="spellStart"/>
      <w:r w:rsidRPr="005D4A03">
        <w:rPr>
          <w:rFonts w:eastAsia="Times New Roman" w:cstheme="minorHAnsi"/>
          <w:color w:val="3D3B39"/>
          <w:sz w:val="20"/>
          <w:szCs w:val="20"/>
          <w:lang w:eastAsia="it-IT"/>
        </w:rPr>
        <w:t>specialis</w:t>
      </w:r>
      <w:proofErr w:type="spellEnd"/>
      <w:r w:rsidRPr="005D4A03">
        <w:rPr>
          <w:rFonts w:eastAsia="Times New Roman" w:cstheme="minorHAnsi"/>
          <w:color w:val="3D3B39"/>
          <w:sz w:val="20"/>
          <w:szCs w:val="20"/>
          <w:lang w:eastAsia="it-IT"/>
        </w:rPr>
        <w:t xml:space="preserve"> di gara (bando e disciplinare), né il modello di offerta economica predisposto dalla stazione appaltante hanno previsto la dichiarazione separata di tali oneri, discendendo direttamente ed inequivocabilmente dalla legge l’obbligo (</w:t>
      </w:r>
      <w:proofErr w:type="spellStart"/>
      <w:r w:rsidRPr="005D4A03">
        <w:rPr>
          <w:rFonts w:eastAsia="Times New Roman" w:cstheme="minorHAnsi"/>
          <w:color w:val="3D3B39"/>
          <w:sz w:val="20"/>
          <w:szCs w:val="20"/>
          <w:lang w:eastAsia="it-IT"/>
        </w:rPr>
        <w:t>rectius</w:t>
      </w:r>
      <w:proofErr w:type="spellEnd"/>
      <w:r w:rsidRPr="005D4A03">
        <w:rPr>
          <w:rFonts w:eastAsia="Times New Roman" w:cstheme="minorHAnsi"/>
          <w:color w:val="3D3B39"/>
          <w:sz w:val="20"/>
          <w:szCs w:val="20"/>
          <w:lang w:eastAsia="it-IT"/>
        </w:rPr>
        <w:t xml:space="preserve">: l’onere) di effettuare la dichiarazione stessa: il che è proprio il quid novi contenuto nella disciplina dettata sul punto dall’art. 95, comma 10, cit., che ha inteso porre fine, una volta per tutte, ai ben noti contrasti insorti nel preesistente assetto normativo» (così T.A.R. Sardegna, 7 settembre 2017, n. 577). </w:t>
      </w:r>
      <w:r w:rsidRPr="005D4A03">
        <w:rPr>
          <w:rFonts w:eastAsia="Times New Roman" w:cstheme="minorHAnsi"/>
          <w:color w:val="3D3B39"/>
          <w:sz w:val="20"/>
          <w:szCs w:val="20"/>
          <w:lang w:eastAsia="it-IT"/>
        </w:rPr>
        <w:br/>
        <w:t xml:space="preserve">Il motivo, pertanto, non è fondato. </w:t>
      </w:r>
      <w:r w:rsidRPr="005D4A03">
        <w:rPr>
          <w:rFonts w:eastAsia="Times New Roman" w:cstheme="minorHAnsi"/>
          <w:color w:val="3D3B39"/>
          <w:sz w:val="20"/>
          <w:szCs w:val="20"/>
          <w:lang w:eastAsia="it-IT"/>
        </w:rPr>
        <w:br/>
      </w:r>
      <w:r w:rsidRPr="005D4A03">
        <w:rPr>
          <w:rFonts w:eastAsia="Times New Roman" w:cstheme="minorHAnsi"/>
          <w:color w:val="3D3B39"/>
          <w:sz w:val="20"/>
          <w:szCs w:val="20"/>
          <w:lang w:eastAsia="it-IT"/>
        </w:rPr>
        <w:lastRenderedPageBreak/>
        <w:t xml:space="preserve">10. - Deve essere respinto anche il motivo relativo alla dedotta violazione dell’art. 7 della legge n. 241 del 1990. </w:t>
      </w:r>
      <w:r w:rsidRPr="005D4A03">
        <w:rPr>
          <w:rFonts w:eastAsia="Times New Roman" w:cstheme="minorHAnsi"/>
          <w:color w:val="3D3B39"/>
          <w:sz w:val="20"/>
          <w:szCs w:val="20"/>
          <w:lang w:eastAsia="it-IT"/>
        </w:rPr>
        <w:br/>
        <w:t>E’ pur vero che, in termini generali, sussiste il dovere dell’amministrazione, che intenda procedere all’annullamento in autotutela dell’aggiudicazione definitiva, di comunicare l’avvio del procedimento all’aggiudicatario destinatario del provvedimento finale (la questione è pacifica almeno da Consiglio di Stato, sez. V, 3 febbraio 2000, n. 661). Tuttavia, si tratta di indirizzo la cui portata deve essere attualmente valutata alla luce della previsione contenuta nell’art. 21-octies, comma 2, della legge n. 241/1990, secondo cui </w:t>
      </w:r>
      <w:r w:rsidRPr="005D4A03">
        <w:rPr>
          <w:rFonts w:eastAsia="Times New Roman" w:cstheme="minorHAnsi"/>
          <w:i/>
          <w:iCs/>
          <w:color w:val="3D3B39"/>
          <w:sz w:val="20"/>
          <w:szCs w:val="20"/>
          <w:lang w:eastAsia="it-IT"/>
        </w:rPr>
        <w:t>«non è annullabile il provvedimento adottato in violazione di norme sul procedimento o sulla forma degli atti qualora, per la natura vincolata del provvedimento, sia palese che il suo contenuto dispositivo non avrebbe potuto essere diverso da quello in concreto adottato»</w:t>
      </w:r>
      <w:r w:rsidRPr="005D4A03">
        <w:rPr>
          <w:rFonts w:eastAsia="Times New Roman" w:cstheme="minorHAnsi"/>
          <w:color w:val="3D3B39"/>
          <w:sz w:val="20"/>
          <w:szCs w:val="20"/>
          <w:lang w:eastAsia="it-IT"/>
        </w:rPr>
        <w:t> (primo periodo); </w:t>
      </w:r>
      <w:r w:rsidRPr="005D4A03">
        <w:rPr>
          <w:rFonts w:eastAsia="Times New Roman" w:cstheme="minorHAnsi"/>
          <w:i/>
          <w:iCs/>
          <w:color w:val="3D3B39"/>
          <w:sz w:val="20"/>
          <w:szCs w:val="20"/>
          <w:lang w:eastAsia="it-IT"/>
        </w:rPr>
        <w:t>«il provvedimento amministrativo non è comunque annullabile per mancata comunicazione dell’avvio del procedimento qualora l’amministrazione dimostri in giudizio che il contenuto del provvedimento non avrebbe potuto essere diverso da quello in concreto adottato»</w:t>
      </w:r>
      <w:r w:rsidRPr="005D4A03">
        <w:rPr>
          <w:rFonts w:eastAsia="Times New Roman" w:cstheme="minorHAnsi"/>
          <w:color w:val="3D3B39"/>
          <w:sz w:val="20"/>
          <w:szCs w:val="20"/>
          <w:lang w:eastAsia="it-IT"/>
        </w:rPr>
        <w:t xml:space="preserve"> (secondo periodo). </w:t>
      </w:r>
      <w:r w:rsidRPr="005D4A03">
        <w:rPr>
          <w:rFonts w:eastAsia="Times New Roman" w:cstheme="minorHAnsi"/>
          <w:color w:val="3D3B39"/>
          <w:sz w:val="20"/>
          <w:szCs w:val="20"/>
          <w:lang w:eastAsia="it-IT"/>
        </w:rPr>
        <w:br/>
        <w:t xml:space="preserve">Nel caso di specie, trova applicazione la fattispecie di cui al secondo periodo, nella quale la violazione costituita dall’omessa comunicazione di avvio non determina l’annullabilità del provvedimento finale, anche se si tratti di provvedimento a contenuto discrezionale (quali sono i provvedimenti di secondo grado come l’annullamento d’ufficio), </w:t>
      </w:r>
      <w:proofErr w:type="spellStart"/>
      <w:r w:rsidRPr="005D4A03">
        <w:rPr>
          <w:rFonts w:eastAsia="Times New Roman" w:cstheme="minorHAnsi"/>
          <w:color w:val="3D3B39"/>
          <w:sz w:val="20"/>
          <w:szCs w:val="20"/>
          <w:lang w:eastAsia="it-IT"/>
        </w:rPr>
        <w:t>purchè</w:t>
      </w:r>
      <w:proofErr w:type="spellEnd"/>
      <w:r w:rsidRPr="005D4A03">
        <w:rPr>
          <w:rFonts w:eastAsia="Times New Roman" w:cstheme="minorHAnsi"/>
          <w:color w:val="3D3B39"/>
          <w:sz w:val="20"/>
          <w:szCs w:val="20"/>
          <w:lang w:eastAsia="it-IT"/>
        </w:rPr>
        <w:t> </w:t>
      </w:r>
      <w:r w:rsidRPr="005D4A03">
        <w:rPr>
          <w:rFonts w:eastAsia="Times New Roman" w:cstheme="minorHAnsi"/>
          <w:i/>
          <w:iCs/>
          <w:color w:val="3D3B39"/>
          <w:sz w:val="20"/>
          <w:szCs w:val="20"/>
          <w:lang w:eastAsia="it-IT"/>
        </w:rPr>
        <w:t>«l’amministrazione dimostri in giudizio che il contenuto del provvedimento non avrebbe potuto essere diverso da quello in concreto adottato»</w:t>
      </w:r>
      <w:r w:rsidRPr="005D4A03">
        <w:rPr>
          <w:rFonts w:eastAsia="Times New Roman" w:cstheme="minorHAnsi"/>
          <w:color w:val="3D3B39"/>
          <w:sz w:val="20"/>
          <w:szCs w:val="20"/>
          <w:lang w:eastAsia="it-IT"/>
        </w:rPr>
        <w:t xml:space="preserve">. </w:t>
      </w:r>
      <w:r w:rsidRPr="005D4A03">
        <w:rPr>
          <w:rFonts w:eastAsia="Times New Roman" w:cstheme="minorHAnsi"/>
          <w:color w:val="3D3B39"/>
          <w:sz w:val="20"/>
          <w:szCs w:val="20"/>
          <w:lang w:eastAsia="it-IT"/>
        </w:rPr>
        <w:br/>
        <w:t xml:space="preserve">La più recente giurisprudenza del Consiglio di Stato, sulla premessa di un’accezione sostanzialistica della violazione dell’art. 7 della l. n. 241 del 1990, in diverse occasioni (cfr.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St., sez. VI, 29 luglio 2008, n. 3786; sez. V, 18 aprile 2012, n. 2257; sez. V, 5 dicembre 2014, n. 5989; sez. VI, 4 marzo 2015, n. 1060) ha affermato che l’art. 21-octies deve essere interpretato nel senso di </w:t>
      </w:r>
      <w:r w:rsidRPr="005D4A03">
        <w:rPr>
          <w:rFonts w:eastAsia="Times New Roman" w:cstheme="minorHAnsi"/>
          <w:i/>
          <w:iCs/>
          <w:color w:val="3D3B39"/>
          <w:sz w:val="20"/>
          <w:szCs w:val="20"/>
          <w:lang w:eastAsia="it-IT"/>
        </w:rPr>
        <w:t>«evitare che l’amministrazione sia onerata in giudizio di una prova diabolica, e cioè della dimostrazione che il provvedimento non avrebbe potuto avere contenuto diverso in relazione a tutti i possibili contenuti ipotizzabili, per cui si deve comunque porre previamente a carico del privato l’onere di indicare, quanto meno in termini di allegazione processuale, quali elementi conoscitivi avrebbe introdotto nel procedimento, se previamente comunicatogli, onde indirizzare l'amministrazione verso una decisione diversa da quella assunta»</w:t>
      </w:r>
      <w:r w:rsidRPr="005D4A03">
        <w:rPr>
          <w:rFonts w:eastAsia="Times New Roman" w:cstheme="minorHAnsi"/>
          <w:color w:val="3D3B39"/>
          <w:sz w:val="20"/>
          <w:szCs w:val="20"/>
          <w:lang w:eastAsia="it-IT"/>
        </w:rPr>
        <w:t xml:space="preserve"> (così </w:t>
      </w:r>
      <w:proofErr w:type="spellStart"/>
      <w:r w:rsidRPr="005D4A03">
        <w:rPr>
          <w:rFonts w:eastAsia="Times New Roman" w:cstheme="minorHAnsi"/>
          <w:color w:val="3D3B39"/>
          <w:sz w:val="20"/>
          <w:szCs w:val="20"/>
          <w:lang w:eastAsia="it-IT"/>
        </w:rPr>
        <w:t>Cons</w:t>
      </w:r>
      <w:proofErr w:type="spellEnd"/>
      <w:r w:rsidRPr="005D4A03">
        <w:rPr>
          <w:rFonts w:eastAsia="Times New Roman" w:cstheme="minorHAnsi"/>
          <w:color w:val="3D3B39"/>
          <w:sz w:val="20"/>
          <w:szCs w:val="20"/>
          <w:lang w:eastAsia="it-IT"/>
        </w:rPr>
        <w:t xml:space="preserve">. Stato, V, 18 aprile 2012, n. 2257). </w:t>
      </w:r>
      <w:r w:rsidRPr="005D4A03">
        <w:rPr>
          <w:rFonts w:eastAsia="Times New Roman" w:cstheme="minorHAnsi"/>
          <w:color w:val="3D3B39"/>
          <w:sz w:val="20"/>
          <w:szCs w:val="20"/>
          <w:lang w:eastAsia="it-IT"/>
        </w:rPr>
        <w:br/>
        <w:t xml:space="preserve">11. - In particolare, l’onere di allegazione, da parte del privato, deve consistere nella prospettazione di elementi che, implicando valutazioni di merito (amministrativo o tecnico), possono trovare ingresso esclusivamente nel procedimento amministrativo e non anche nel giudizio amministrativo. </w:t>
      </w:r>
      <w:r w:rsidRPr="005D4A03">
        <w:rPr>
          <w:rFonts w:eastAsia="Times New Roman" w:cstheme="minorHAnsi"/>
          <w:color w:val="3D3B39"/>
          <w:sz w:val="20"/>
          <w:szCs w:val="20"/>
          <w:lang w:eastAsia="it-IT"/>
        </w:rPr>
        <w:br/>
        <w:t xml:space="preserve">Nel caso di specie, peraltro, la ricorrente si lamenta della mancata comunicazione di avvio allegando esclusivamente che, se fosse stata coinvolta nel procedimento amministrativo di autotutela, avrebbe potuto far valere l’illegittimità dell’esclusione automatica e avrebbe potuto sollecitare la verifica della completezza dell’offerta economica, mediante il soccorso istruttorio da svolgersi sul punto degli oneri di sicurezza interni. </w:t>
      </w:r>
      <w:r w:rsidRPr="005D4A03">
        <w:rPr>
          <w:rFonts w:eastAsia="Times New Roman" w:cstheme="minorHAnsi"/>
          <w:color w:val="3D3B39"/>
          <w:sz w:val="20"/>
          <w:szCs w:val="20"/>
          <w:lang w:eastAsia="it-IT"/>
        </w:rPr>
        <w:br/>
        <w:t xml:space="preserve">Ma, per le ragioni che si sono già vedute, l’introduzione nel procedimento delle predette argomentazioni non avrebbe potuto condurre all’adozione di un provvedimento diverso da quello in concreto adottato, con la conseguenza che il vizio costituito dalla mancata comunicazione dell’avvio del procedimento non assume rilevanza, ai sensi del secondo periodo dell’art. 21-octies. </w:t>
      </w:r>
      <w:r w:rsidRPr="005D4A03">
        <w:rPr>
          <w:rFonts w:eastAsia="Times New Roman" w:cstheme="minorHAnsi"/>
          <w:color w:val="3D3B39"/>
          <w:sz w:val="20"/>
          <w:szCs w:val="20"/>
          <w:lang w:eastAsia="it-IT"/>
        </w:rPr>
        <w:br/>
        <w:t xml:space="preserve">12. - Dalla accertata infondatezza della domanda di annullamento, deriva l’infondatezza anche delle domande risarcitorie proposte dalla società ricorrente. </w:t>
      </w:r>
      <w:r w:rsidRPr="005D4A03">
        <w:rPr>
          <w:rFonts w:eastAsia="Times New Roman" w:cstheme="minorHAnsi"/>
          <w:color w:val="3D3B39"/>
          <w:sz w:val="20"/>
          <w:szCs w:val="20"/>
          <w:lang w:eastAsia="it-IT"/>
        </w:rPr>
        <w:br/>
        <w:t xml:space="preserve">13. - Il ricorso, in conclusione, deve essere integralmente respinto. </w:t>
      </w:r>
      <w:r w:rsidRPr="005D4A03">
        <w:rPr>
          <w:rFonts w:eastAsia="Times New Roman" w:cstheme="minorHAnsi"/>
          <w:color w:val="3D3B39"/>
          <w:sz w:val="20"/>
          <w:szCs w:val="20"/>
          <w:lang w:eastAsia="it-IT"/>
        </w:rPr>
        <w:br/>
        <w:t xml:space="preserve">14. - Le spese giudiziali debbono essere integralmente compensate tra le parti, in considerazione della permanente incertezza giurisprudenziale sulle questioni decise. </w:t>
      </w:r>
    </w:p>
    <w:p w:rsidR="00155B5E" w:rsidRPr="005D4A03" w:rsidRDefault="00155B5E" w:rsidP="00155B5E">
      <w:pPr>
        <w:spacing w:after="265" w:line="240" w:lineRule="auto"/>
        <w:jc w:val="center"/>
        <w:rPr>
          <w:rFonts w:eastAsia="Times New Roman" w:cstheme="minorHAnsi"/>
          <w:color w:val="3D3B39"/>
          <w:sz w:val="20"/>
          <w:szCs w:val="20"/>
          <w:lang w:eastAsia="it-IT"/>
        </w:rPr>
      </w:pPr>
      <w:r w:rsidRPr="005D4A03">
        <w:rPr>
          <w:rFonts w:eastAsia="Times New Roman" w:cstheme="minorHAnsi"/>
          <w:b/>
          <w:bCs/>
          <w:color w:val="3D3B39"/>
          <w:sz w:val="20"/>
          <w:szCs w:val="20"/>
          <w:lang w:eastAsia="it-IT"/>
        </w:rPr>
        <w:t xml:space="preserve">P.Q.M. </w:t>
      </w:r>
    </w:p>
    <w:p w:rsidR="00155B5E" w:rsidRPr="005D4A03" w:rsidRDefault="00155B5E" w:rsidP="00155B5E">
      <w:pPr>
        <w:spacing w:after="265" w:line="240" w:lineRule="auto"/>
        <w:rPr>
          <w:rFonts w:eastAsia="Times New Roman" w:cstheme="minorHAnsi"/>
          <w:color w:val="3D3B39"/>
          <w:sz w:val="20"/>
          <w:szCs w:val="20"/>
          <w:lang w:eastAsia="it-IT"/>
        </w:rPr>
      </w:pPr>
      <w:r w:rsidRPr="005D4A03">
        <w:rPr>
          <w:rFonts w:eastAsia="Times New Roman" w:cstheme="minorHAnsi"/>
          <w:color w:val="3D3B39"/>
          <w:sz w:val="20"/>
          <w:szCs w:val="20"/>
          <w:lang w:eastAsia="it-IT"/>
        </w:rPr>
        <w:t xml:space="preserve">Il Tribunale Amministrativo Regionale per la Sardegna, Sezione Prima, definitivamente pronunciando sul ricorso, come in epigrafe proposto, lo rigetta. </w:t>
      </w:r>
      <w:r w:rsidRPr="005D4A03">
        <w:rPr>
          <w:rFonts w:eastAsia="Times New Roman" w:cstheme="minorHAnsi"/>
          <w:color w:val="3D3B39"/>
          <w:sz w:val="20"/>
          <w:szCs w:val="20"/>
          <w:lang w:eastAsia="it-IT"/>
        </w:rPr>
        <w:br/>
        <w:t xml:space="preserve">Spese compensate. </w:t>
      </w:r>
      <w:r w:rsidRPr="005D4A03">
        <w:rPr>
          <w:rFonts w:eastAsia="Times New Roman" w:cstheme="minorHAnsi"/>
          <w:color w:val="3D3B39"/>
          <w:sz w:val="20"/>
          <w:szCs w:val="20"/>
          <w:lang w:eastAsia="it-IT"/>
        </w:rPr>
        <w:br/>
        <w:t xml:space="preserve">Ordina che la presente sentenza sia eseguita dall'autorità amministrativa. </w:t>
      </w:r>
      <w:r w:rsidRPr="005D4A03">
        <w:rPr>
          <w:rFonts w:eastAsia="Times New Roman" w:cstheme="minorHAnsi"/>
          <w:color w:val="3D3B39"/>
          <w:sz w:val="20"/>
          <w:szCs w:val="20"/>
          <w:lang w:eastAsia="it-IT"/>
        </w:rPr>
        <w:br/>
        <w:t xml:space="preserve">Così deciso in Cagliari nella camera di consiglio del giorno 16 maggio 2018 con l'intervento dei magistrati: </w:t>
      </w:r>
      <w:r w:rsidRPr="005D4A03">
        <w:rPr>
          <w:rFonts w:eastAsia="Times New Roman" w:cstheme="minorHAnsi"/>
          <w:color w:val="3D3B39"/>
          <w:sz w:val="20"/>
          <w:szCs w:val="20"/>
          <w:lang w:eastAsia="it-IT"/>
        </w:rPr>
        <w:br/>
        <w:t xml:space="preserve">Caro Lucrezio Monticelli, Presidente </w:t>
      </w:r>
      <w:r w:rsidRPr="005D4A03">
        <w:rPr>
          <w:rFonts w:eastAsia="Times New Roman" w:cstheme="minorHAnsi"/>
          <w:color w:val="3D3B39"/>
          <w:sz w:val="20"/>
          <w:szCs w:val="20"/>
          <w:lang w:eastAsia="it-IT"/>
        </w:rPr>
        <w:br/>
        <w:t xml:space="preserve">Antonio </w:t>
      </w:r>
      <w:proofErr w:type="spellStart"/>
      <w:r w:rsidRPr="005D4A03">
        <w:rPr>
          <w:rFonts w:eastAsia="Times New Roman" w:cstheme="minorHAnsi"/>
          <w:color w:val="3D3B39"/>
          <w:sz w:val="20"/>
          <w:szCs w:val="20"/>
          <w:lang w:eastAsia="it-IT"/>
        </w:rPr>
        <w:t>Plaisant</w:t>
      </w:r>
      <w:proofErr w:type="spellEnd"/>
      <w:r w:rsidRPr="005D4A03">
        <w:rPr>
          <w:rFonts w:eastAsia="Times New Roman" w:cstheme="minorHAnsi"/>
          <w:color w:val="3D3B39"/>
          <w:sz w:val="20"/>
          <w:szCs w:val="20"/>
          <w:lang w:eastAsia="it-IT"/>
        </w:rPr>
        <w:t xml:space="preserve">, Consigliere </w:t>
      </w:r>
      <w:r w:rsidRPr="005D4A03">
        <w:rPr>
          <w:rFonts w:eastAsia="Times New Roman" w:cstheme="minorHAnsi"/>
          <w:color w:val="3D3B39"/>
          <w:sz w:val="20"/>
          <w:szCs w:val="20"/>
          <w:lang w:eastAsia="it-IT"/>
        </w:rPr>
        <w:br/>
        <w:t xml:space="preserve">Giorgio Manca, Consigliere, Estensore </w:t>
      </w: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155B5E" w:rsidRPr="005D4A03" w:rsidRDefault="00155B5E" w:rsidP="00155B5E">
      <w:pPr>
        <w:spacing w:after="225" w:line="240" w:lineRule="auto"/>
        <w:outlineLvl w:val="2"/>
        <w:rPr>
          <w:rFonts w:eastAsia="Times New Roman" w:cstheme="minorHAnsi"/>
          <w:b/>
          <w:bCs/>
          <w:caps/>
          <w:color w:val="000000"/>
          <w:sz w:val="20"/>
          <w:szCs w:val="20"/>
          <w:lang w:eastAsia="it-IT"/>
        </w:rPr>
      </w:pPr>
    </w:p>
    <w:p w:rsidR="002E233D" w:rsidRPr="005D4A03" w:rsidRDefault="002E233D" w:rsidP="00155B5E">
      <w:pPr>
        <w:rPr>
          <w:rFonts w:cstheme="minorHAnsi"/>
          <w:sz w:val="20"/>
          <w:szCs w:val="20"/>
        </w:rPr>
      </w:pPr>
    </w:p>
    <w:sectPr w:rsidR="002E233D" w:rsidRPr="005D4A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4A"/>
    <w:rsid w:val="0000193E"/>
    <w:rsid w:val="00031E49"/>
    <w:rsid w:val="000754DF"/>
    <w:rsid w:val="000B25E6"/>
    <w:rsid w:val="000D5E3E"/>
    <w:rsid w:val="001105B0"/>
    <w:rsid w:val="00116DBD"/>
    <w:rsid w:val="00155B5E"/>
    <w:rsid w:val="001B00B2"/>
    <w:rsid w:val="001C4E7E"/>
    <w:rsid w:val="00243BBB"/>
    <w:rsid w:val="00246BF6"/>
    <w:rsid w:val="002635EF"/>
    <w:rsid w:val="002B4E4E"/>
    <w:rsid w:val="002B561A"/>
    <w:rsid w:val="002E233D"/>
    <w:rsid w:val="00307F85"/>
    <w:rsid w:val="00366B62"/>
    <w:rsid w:val="00366EE9"/>
    <w:rsid w:val="003A3D7A"/>
    <w:rsid w:val="003C5C4A"/>
    <w:rsid w:val="0047752B"/>
    <w:rsid w:val="004D6179"/>
    <w:rsid w:val="0050079F"/>
    <w:rsid w:val="00573858"/>
    <w:rsid w:val="00581FEA"/>
    <w:rsid w:val="00594316"/>
    <w:rsid w:val="005D4A03"/>
    <w:rsid w:val="00695CFA"/>
    <w:rsid w:val="006D18D1"/>
    <w:rsid w:val="006F5071"/>
    <w:rsid w:val="00705065"/>
    <w:rsid w:val="00707644"/>
    <w:rsid w:val="007A135E"/>
    <w:rsid w:val="007B389A"/>
    <w:rsid w:val="009118C6"/>
    <w:rsid w:val="00916901"/>
    <w:rsid w:val="0095747F"/>
    <w:rsid w:val="009B213C"/>
    <w:rsid w:val="00A71A25"/>
    <w:rsid w:val="00AC3D14"/>
    <w:rsid w:val="00AC6A6C"/>
    <w:rsid w:val="00AC72F4"/>
    <w:rsid w:val="00B93385"/>
    <w:rsid w:val="00BF44B7"/>
    <w:rsid w:val="00C64893"/>
    <w:rsid w:val="00C76A4E"/>
    <w:rsid w:val="00D74FE6"/>
    <w:rsid w:val="00D834AC"/>
    <w:rsid w:val="00D968E3"/>
    <w:rsid w:val="00DC23B6"/>
    <w:rsid w:val="00EB32A8"/>
    <w:rsid w:val="00F902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4848">
      <w:bodyDiv w:val="1"/>
      <w:marLeft w:val="0"/>
      <w:marRight w:val="0"/>
      <w:marTop w:val="0"/>
      <w:marBottom w:val="0"/>
      <w:divBdr>
        <w:top w:val="none" w:sz="0" w:space="0" w:color="auto"/>
        <w:left w:val="none" w:sz="0" w:space="0" w:color="auto"/>
        <w:bottom w:val="none" w:sz="0" w:space="0" w:color="auto"/>
        <w:right w:val="none" w:sz="0" w:space="0" w:color="auto"/>
      </w:divBdr>
      <w:divsChild>
        <w:div w:id="546986254">
          <w:marLeft w:val="0"/>
          <w:marRight w:val="0"/>
          <w:marTop w:val="0"/>
          <w:marBottom w:val="0"/>
          <w:divBdr>
            <w:top w:val="none" w:sz="0" w:space="0" w:color="auto"/>
            <w:left w:val="none" w:sz="0" w:space="0" w:color="auto"/>
            <w:bottom w:val="none" w:sz="0" w:space="0" w:color="auto"/>
            <w:right w:val="none" w:sz="0" w:space="0" w:color="auto"/>
          </w:divBdr>
          <w:divsChild>
            <w:div w:id="1598708319">
              <w:marLeft w:val="0"/>
              <w:marRight w:val="0"/>
              <w:marTop w:val="0"/>
              <w:marBottom w:val="0"/>
              <w:divBdr>
                <w:top w:val="none" w:sz="0" w:space="0" w:color="auto"/>
                <w:left w:val="none" w:sz="0" w:space="0" w:color="auto"/>
                <w:bottom w:val="none" w:sz="0" w:space="0" w:color="auto"/>
                <w:right w:val="none" w:sz="0" w:space="0" w:color="auto"/>
              </w:divBdr>
              <w:divsChild>
                <w:div w:id="1701053456">
                  <w:marLeft w:val="-225"/>
                  <w:marRight w:val="-225"/>
                  <w:marTop w:val="0"/>
                  <w:marBottom w:val="0"/>
                  <w:divBdr>
                    <w:top w:val="none" w:sz="0" w:space="0" w:color="auto"/>
                    <w:left w:val="none" w:sz="0" w:space="0" w:color="auto"/>
                    <w:bottom w:val="none" w:sz="0" w:space="0" w:color="auto"/>
                    <w:right w:val="none" w:sz="0" w:space="0" w:color="auto"/>
                  </w:divBdr>
                  <w:divsChild>
                    <w:div w:id="161824591">
                      <w:marLeft w:val="0"/>
                      <w:marRight w:val="0"/>
                      <w:marTop w:val="0"/>
                      <w:marBottom w:val="0"/>
                      <w:divBdr>
                        <w:top w:val="none" w:sz="0" w:space="0" w:color="auto"/>
                        <w:left w:val="none" w:sz="0" w:space="0" w:color="auto"/>
                        <w:bottom w:val="none" w:sz="0" w:space="0" w:color="auto"/>
                        <w:right w:val="none" w:sz="0" w:space="0" w:color="auto"/>
                      </w:divBdr>
                      <w:divsChild>
                        <w:div w:id="758258330">
                          <w:marLeft w:val="-225"/>
                          <w:marRight w:val="-225"/>
                          <w:marTop w:val="0"/>
                          <w:marBottom w:val="0"/>
                          <w:divBdr>
                            <w:top w:val="none" w:sz="0" w:space="0" w:color="auto"/>
                            <w:left w:val="none" w:sz="0" w:space="0" w:color="auto"/>
                            <w:bottom w:val="none" w:sz="0" w:space="0" w:color="auto"/>
                            <w:right w:val="none" w:sz="0" w:space="0" w:color="auto"/>
                          </w:divBdr>
                          <w:divsChild>
                            <w:div w:id="862210024">
                              <w:marLeft w:val="0"/>
                              <w:marRight w:val="0"/>
                              <w:marTop w:val="0"/>
                              <w:marBottom w:val="0"/>
                              <w:divBdr>
                                <w:top w:val="none" w:sz="0" w:space="0" w:color="auto"/>
                                <w:left w:val="none" w:sz="0" w:space="0" w:color="auto"/>
                                <w:bottom w:val="none" w:sz="0" w:space="0" w:color="auto"/>
                                <w:right w:val="none" w:sz="0" w:space="0" w:color="auto"/>
                              </w:divBdr>
                              <w:divsChild>
                                <w:div w:id="1814372202">
                                  <w:marLeft w:val="0"/>
                                  <w:marRight w:val="0"/>
                                  <w:marTop w:val="0"/>
                                  <w:marBottom w:val="0"/>
                                  <w:divBdr>
                                    <w:top w:val="none" w:sz="0" w:space="0" w:color="auto"/>
                                    <w:left w:val="none" w:sz="0" w:space="0" w:color="auto"/>
                                    <w:bottom w:val="none" w:sz="0" w:space="0" w:color="auto"/>
                                    <w:right w:val="none" w:sz="0" w:space="0" w:color="auto"/>
                                  </w:divBdr>
                                  <w:divsChild>
                                    <w:div w:id="462582084">
                                      <w:marLeft w:val="-225"/>
                                      <w:marRight w:val="-225"/>
                                      <w:marTop w:val="0"/>
                                      <w:marBottom w:val="0"/>
                                      <w:divBdr>
                                        <w:top w:val="none" w:sz="0" w:space="0" w:color="auto"/>
                                        <w:left w:val="none" w:sz="0" w:space="0" w:color="auto"/>
                                        <w:bottom w:val="none" w:sz="0" w:space="0" w:color="auto"/>
                                        <w:right w:val="none" w:sz="0" w:space="0" w:color="auto"/>
                                      </w:divBdr>
                                      <w:divsChild>
                                        <w:div w:id="635598760">
                                          <w:marLeft w:val="0"/>
                                          <w:marRight w:val="0"/>
                                          <w:marTop w:val="0"/>
                                          <w:marBottom w:val="0"/>
                                          <w:divBdr>
                                            <w:top w:val="none" w:sz="0" w:space="0" w:color="auto"/>
                                            <w:left w:val="none" w:sz="0" w:space="0" w:color="auto"/>
                                            <w:bottom w:val="none" w:sz="0" w:space="0" w:color="auto"/>
                                            <w:right w:val="none" w:sz="0" w:space="0" w:color="auto"/>
                                          </w:divBdr>
                                          <w:divsChild>
                                            <w:div w:id="11464555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722557">
      <w:bodyDiv w:val="1"/>
      <w:marLeft w:val="0"/>
      <w:marRight w:val="0"/>
      <w:marTop w:val="0"/>
      <w:marBottom w:val="0"/>
      <w:divBdr>
        <w:top w:val="none" w:sz="0" w:space="0" w:color="auto"/>
        <w:left w:val="none" w:sz="0" w:space="0" w:color="auto"/>
        <w:bottom w:val="none" w:sz="0" w:space="0" w:color="auto"/>
        <w:right w:val="none" w:sz="0" w:space="0" w:color="auto"/>
      </w:divBdr>
      <w:divsChild>
        <w:div w:id="1355961764">
          <w:marLeft w:val="0"/>
          <w:marRight w:val="0"/>
          <w:marTop w:val="0"/>
          <w:marBottom w:val="0"/>
          <w:divBdr>
            <w:top w:val="none" w:sz="0" w:space="0" w:color="auto"/>
            <w:left w:val="none" w:sz="0" w:space="0" w:color="auto"/>
            <w:bottom w:val="none" w:sz="0" w:space="0" w:color="auto"/>
            <w:right w:val="none" w:sz="0" w:space="0" w:color="auto"/>
          </w:divBdr>
          <w:divsChild>
            <w:div w:id="177080406">
              <w:marLeft w:val="0"/>
              <w:marRight w:val="0"/>
              <w:marTop w:val="0"/>
              <w:marBottom w:val="0"/>
              <w:divBdr>
                <w:top w:val="none" w:sz="0" w:space="0" w:color="auto"/>
                <w:left w:val="none" w:sz="0" w:space="0" w:color="auto"/>
                <w:bottom w:val="none" w:sz="0" w:space="0" w:color="auto"/>
                <w:right w:val="none" w:sz="0" w:space="0" w:color="auto"/>
              </w:divBdr>
              <w:divsChild>
                <w:div w:id="307712616">
                  <w:marLeft w:val="-225"/>
                  <w:marRight w:val="-225"/>
                  <w:marTop w:val="0"/>
                  <w:marBottom w:val="0"/>
                  <w:divBdr>
                    <w:top w:val="none" w:sz="0" w:space="0" w:color="auto"/>
                    <w:left w:val="none" w:sz="0" w:space="0" w:color="auto"/>
                    <w:bottom w:val="none" w:sz="0" w:space="0" w:color="auto"/>
                    <w:right w:val="none" w:sz="0" w:space="0" w:color="auto"/>
                  </w:divBdr>
                  <w:divsChild>
                    <w:div w:id="157617283">
                      <w:marLeft w:val="0"/>
                      <w:marRight w:val="0"/>
                      <w:marTop w:val="0"/>
                      <w:marBottom w:val="0"/>
                      <w:divBdr>
                        <w:top w:val="none" w:sz="0" w:space="0" w:color="auto"/>
                        <w:left w:val="none" w:sz="0" w:space="0" w:color="auto"/>
                        <w:bottom w:val="none" w:sz="0" w:space="0" w:color="auto"/>
                        <w:right w:val="none" w:sz="0" w:space="0" w:color="auto"/>
                      </w:divBdr>
                      <w:divsChild>
                        <w:div w:id="658267863">
                          <w:marLeft w:val="-225"/>
                          <w:marRight w:val="-225"/>
                          <w:marTop w:val="0"/>
                          <w:marBottom w:val="0"/>
                          <w:divBdr>
                            <w:top w:val="none" w:sz="0" w:space="0" w:color="auto"/>
                            <w:left w:val="none" w:sz="0" w:space="0" w:color="auto"/>
                            <w:bottom w:val="none" w:sz="0" w:space="0" w:color="auto"/>
                            <w:right w:val="none" w:sz="0" w:space="0" w:color="auto"/>
                          </w:divBdr>
                          <w:divsChild>
                            <w:div w:id="1082214276">
                              <w:marLeft w:val="0"/>
                              <w:marRight w:val="0"/>
                              <w:marTop w:val="0"/>
                              <w:marBottom w:val="0"/>
                              <w:divBdr>
                                <w:top w:val="none" w:sz="0" w:space="0" w:color="auto"/>
                                <w:left w:val="none" w:sz="0" w:space="0" w:color="auto"/>
                                <w:bottom w:val="none" w:sz="0" w:space="0" w:color="auto"/>
                                <w:right w:val="none" w:sz="0" w:space="0" w:color="auto"/>
                              </w:divBdr>
                              <w:divsChild>
                                <w:div w:id="1465078378">
                                  <w:marLeft w:val="0"/>
                                  <w:marRight w:val="0"/>
                                  <w:marTop w:val="0"/>
                                  <w:marBottom w:val="0"/>
                                  <w:divBdr>
                                    <w:top w:val="none" w:sz="0" w:space="0" w:color="auto"/>
                                    <w:left w:val="none" w:sz="0" w:space="0" w:color="auto"/>
                                    <w:bottom w:val="none" w:sz="0" w:space="0" w:color="auto"/>
                                    <w:right w:val="none" w:sz="0" w:space="0" w:color="auto"/>
                                  </w:divBdr>
                                  <w:divsChild>
                                    <w:div w:id="641236229">
                                      <w:marLeft w:val="-225"/>
                                      <w:marRight w:val="-225"/>
                                      <w:marTop w:val="0"/>
                                      <w:marBottom w:val="0"/>
                                      <w:divBdr>
                                        <w:top w:val="none" w:sz="0" w:space="0" w:color="auto"/>
                                        <w:left w:val="none" w:sz="0" w:space="0" w:color="auto"/>
                                        <w:bottom w:val="none" w:sz="0" w:space="0" w:color="auto"/>
                                        <w:right w:val="none" w:sz="0" w:space="0" w:color="auto"/>
                                      </w:divBdr>
                                      <w:divsChild>
                                        <w:div w:id="674068182">
                                          <w:marLeft w:val="0"/>
                                          <w:marRight w:val="0"/>
                                          <w:marTop w:val="0"/>
                                          <w:marBottom w:val="0"/>
                                          <w:divBdr>
                                            <w:top w:val="none" w:sz="0" w:space="0" w:color="auto"/>
                                            <w:left w:val="none" w:sz="0" w:space="0" w:color="auto"/>
                                            <w:bottom w:val="none" w:sz="0" w:space="0" w:color="auto"/>
                                            <w:right w:val="none" w:sz="0" w:space="0" w:color="auto"/>
                                          </w:divBdr>
                                          <w:divsChild>
                                            <w:div w:id="206721797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1108202">
      <w:bodyDiv w:val="1"/>
      <w:marLeft w:val="0"/>
      <w:marRight w:val="0"/>
      <w:marTop w:val="0"/>
      <w:marBottom w:val="0"/>
      <w:divBdr>
        <w:top w:val="none" w:sz="0" w:space="0" w:color="auto"/>
        <w:left w:val="none" w:sz="0" w:space="0" w:color="auto"/>
        <w:bottom w:val="none" w:sz="0" w:space="0" w:color="auto"/>
        <w:right w:val="none" w:sz="0" w:space="0" w:color="auto"/>
      </w:divBdr>
      <w:divsChild>
        <w:div w:id="1457331943">
          <w:marLeft w:val="0"/>
          <w:marRight w:val="0"/>
          <w:marTop w:val="0"/>
          <w:marBottom w:val="0"/>
          <w:divBdr>
            <w:top w:val="none" w:sz="0" w:space="0" w:color="auto"/>
            <w:left w:val="none" w:sz="0" w:space="0" w:color="auto"/>
            <w:bottom w:val="none" w:sz="0" w:space="0" w:color="auto"/>
            <w:right w:val="none" w:sz="0" w:space="0" w:color="auto"/>
          </w:divBdr>
          <w:divsChild>
            <w:div w:id="93747294">
              <w:marLeft w:val="0"/>
              <w:marRight w:val="0"/>
              <w:marTop w:val="0"/>
              <w:marBottom w:val="0"/>
              <w:divBdr>
                <w:top w:val="none" w:sz="0" w:space="0" w:color="auto"/>
                <w:left w:val="none" w:sz="0" w:space="0" w:color="auto"/>
                <w:bottom w:val="none" w:sz="0" w:space="0" w:color="auto"/>
                <w:right w:val="none" w:sz="0" w:space="0" w:color="auto"/>
              </w:divBdr>
              <w:divsChild>
                <w:div w:id="1039667108">
                  <w:marLeft w:val="-225"/>
                  <w:marRight w:val="-225"/>
                  <w:marTop w:val="0"/>
                  <w:marBottom w:val="0"/>
                  <w:divBdr>
                    <w:top w:val="none" w:sz="0" w:space="0" w:color="auto"/>
                    <w:left w:val="none" w:sz="0" w:space="0" w:color="auto"/>
                    <w:bottom w:val="none" w:sz="0" w:space="0" w:color="auto"/>
                    <w:right w:val="none" w:sz="0" w:space="0" w:color="auto"/>
                  </w:divBdr>
                  <w:divsChild>
                    <w:div w:id="1753507835">
                      <w:marLeft w:val="0"/>
                      <w:marRight w:val="0"/>
                      <w:marTop w:val="0"/>
                      <w:marBottom w:val="0"/>
                      <w:divBdr>
                        <w:top w:val="none" w:sz="0" w:space="0" w:color="auto"/>
                        <w:left w:val="none" w:sz="0" w:space="0" w:color="auto"/>
                        <w:bottom w:val="none" w:sz="0" w:space="0" w:color="auto"/>
                        <w:right w:val="none" w:sz="0" w:space="0" w:color="auto"/>
                      </w:divBdr>
                      <w:divsChild>
                        <w:div w:id="672731704">
                          <w:marLeft w:val="-225"/>
                          <w:marRight w:val="-225"/>
                          <w:marTop w:val="0"/>
                          <w:marBottom w:val="0"/>
                          <w:divBdr>
                            <w:top w:val="none" w:sz="0" w:space="0" w:color="auto"/>
                            <w:left w:val="none" w:sz="0" w:space="0" w:color="auto"/>
                            <w:bottom w:val="none" w:sz="0" w:space="0" w:color="auto"/>
                            <w:right w:val="none" w:sz="0" w:space="0" w:color="auto"/>
                          </w:divBdr>
                          <w:divsChild>
                            <w:div w:id="381440077">
                              <w:marLeft w:val="0"/>
                              <w:marRight w:val="0"/>
                              <w:marTop w:val="0"/>
                              <w:marBottom w:val="0"/>
                              <w:divBdr>
                                <w:top w:val="none" w:sz="0" w:space="0" w:color="auto"/>
                                <w:left w:val="none" w:sz="0" w:space="0" w:color="auto"/>
                                <w:bottom w:val="none" w:sz="0" w:space="0" w:color="auto"/>
                                <w:right w:val="none" w:sz="0" w:space="0" w:color="auto"/>
                              </w:divBdr>
                              <w:divsChild>
                                <w:div w:id="1431900639">
                                  <w:marLeft w:val="0"/>
                                  <w:marRight w:val="0"/>
                                  <w:marTop w:val="0"/>
                                  <w:marBottom w:val="0"/>
                                  <w:divBdr>
                                    <w:top w:val="none" w:sz="0" w:space="0" w:color="auto"/>
                                    <w:left w:val="none" w:sz="0" w:space="0" w:color="auto"/>
                                    <w:bottom w:val="none" w:sz="0" w:space="0" w:color="auto"/>
                                    <w:right w:val="none" w:sz="0" w:space="0" w:color="auto"/>
                                  </w:divBdr>
                                  <w:divsChild>
                                    <w:div w:id="1545555255">
                                      <w:marLeft w:val="-225"/>
                                      <w:marRight w:val="-225"/>
                                      <w:marTop w:val="0"/>
                                      <w:marBottom w:val="0"/>
                                      <w:divBdr>
                                        <w:top w:val="none" w:sz="0" w:space="0" w:color="auto"/>
                                        <w:left w:val="none" w:sz="0" w:space="0" w:color="auto"/>
                                        <w:bottom w:val="none" w:sz="0" w:space="0" w:color="auto"/>
                                        <w:right w:val="none" w:sz="0" w:space="0" w:color="auto"/>
                                      </w:divBdr>
                                      <w:divsChild>
                                        <w:div w:id="1244334043">
                                          <w:marLeft w:val="0"/>
                                          <w:marRight w:val="0"/>
                                          <w:marTop w:val="0"/>
                                          <w:marBottom w:val="0"/>
                                          <w:divBdr>
                                            <w:top w:val="none" w:sz="0" w:space="0" w:color="auto"/>
                                            <w:left w:val="none" w:sz="0" w:space="0" w:color="auto"/>
                                            <w:bottom w:val="none" w:sz="0" w:space="0" w:color="auto"/>
                                            <w:right w:val="none" w:sz="0" w:space="0" w:color="auto"/>
                                          </w:divBdr>
                                          <w:divsChild>
                                            <w:div w:id="143689799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541026">
      <w:bodyDiv w:val="1"/>
      <w:marLeft w:val="0"/>
      <w:marRight w:val="0"/>
      <w:marTop w:val="0"/>
      <w:marBottom w:val="0"/>
      <w:divBdr>
        <w:top w:val="none" w:sz="0" w:space="0" w:color="auto"/>
        <w:left w:val="none" w:sz="0" w:space="0" w:color="auto"/>
        <w:bottom w:val="none" w:sz="0" w:space="0" w:color="auto"/>
        <w:right w:val="none" w:sz="0" w:space="0" w:color="auto"/>
      </w:divBdr>
      <w:divsChild>
        <w:div w:id="1977175333">
          <w:marLeft w:val="0"/>
          <w:marRight w:val="0"/>
          <w:marTop w:val="0"/>
          <w:marBottom w:val="0"/>
          <w:divBdr>
            <w:top w:val="none" w:sz="0" w:space="0" w:color="auto"/>
            <w:left w:val="none" w:sz="0" w:space="0" w:color="auto"/>
            <w:bottom w:val="none" w:sz="0" w:space="0" w:color="auto"/>
            <w:right w:val="none" w:sz="0" w:space="0" w:color="auto"/>
          </w:divBdr>
          <w:divsChild>
            <w:div w:id="1294483213">
              <w:marLeft w:val="0"/>
              <w:marRight w:val="0"/>
              <w:marTop w:val="0"/>
              <w:marBottom w:val="0"/>
              <w:divBdr>
                <w:top w:val="none" w:sz="0" w:space="0" w:color="auto"/>
                <w:left w:val="none" w:sz="0" w:space="0" w:color="auto"/>
                <w:bottom w:val="none" w:sz="0" w:space="0" w:color="auto"/>
                <w:right w:val="none" w:sz="0" w:space="0" w:color="auto"/>
              </w:divBdr>
              <w:divsChild>
                <w:div w:id="1646809960">
                  <w:marLeft w:val="-225"/>
                  <w:marRight w:val="-225"/>
                  <w:marTop w:val="0"/>
                  <w:marBottom w:val="0"/>
                  <w:divBdr>
                    <w:top w:val="none" w:sz="0" w:space="0" w:color="auto"/>
                    <w:left w:val="none" w:sz="0" w:space="0" w:color="auto"/>
                    <w:bottom w:val="none" w:sz="0" w:space="0" w:color="auto"/>
                    <w:right w:val="none" w:sz="0" w:space="0" w:color="auto"/>
                  </w:divBdr>
                  <w:divsChild>
                    <w:div w:id="590773496">
                      <w:marLeft w:val="0"/>
                      <w:marRight w:val="0"/>
                      <w:marTop w:val="0"/>
                      <w:marBottom w:val="0"/>
                      <w:divBdr>
                        <w:top w:val="none" w:sz="0" w:space="0" w:color="auto"/>
                        <w:left w:val="none" w:sz="0" w:space="0" w:color="auto"/>
                        <w:bottom w:val="none" w:sz="0" w:space="0" w:color="auto"/>
                        <w:right w:val="none" w:sz="0" w:space="0" w:color="auto"/>
                      </w:divBdr>
                      <w:divsChild>
                        <w:div w:id="1002853196">
                          <w:marLeft w:val="-225"/>
                          <w:marRight w:val="-225"/>
                          <w:marTop w:val="0"/>
                          <w:marBottom w:val="0"/>
                          <w:divBdr>
                            <w:top w:val="none" w:sz="0" w:space="0" w:color="auto"/>
                            <w:left w:val="none" w:sz="0" w:space="0" w:color="auto"/>
                            <w:bottom w:val="none" w:sz="0" w:space="0" w:color="auto"/>
                            <w:right w:val="none" w:sz="0" w:space="0" w:color="auto"/>
                          </w:divBdr>
                          <w:divsChild>
                            <w:div w:id="1783915392">
                              <w:marLeft w:val="0"/>
                              <w:marRight w:val="0"/>
                              <w:marTop w:val="0"/>
                              <w:marBottom w:val="0"/>
                              <w:divBdr>
                                <w:top w:val="none" w:sz="0" w:space="0" w:color="auto"/>
                                <w:left w:val="none" w:sz="0" w:space="0" w:color="auto"/>
                                <w:bottom w:val="none" w:sz="0" w:space="0" w:color="auto"/>
                                <w:right w:val="none" w:sz="0" w:space="0" w:color="auto"/>
                              </w:divBdr>
                              <w:divsChild>
                                <w:div w:id="1423649401">
                                  <w:marLeft w:val="0"/>
                                  <w:marRight w:val="0"/>
                                  <w:marTop w:val="0"/>
                                  <w:marBottom w:val="0"/>
                                  <w:divBdr>
                                    <w:top w:val="none" w:sz="0" w:space="0" w:color="auto"/>
                                    <w:left w:val="none" w:sz="0" w:space="0" w:color="auto"/>
                                    <w:bottom w:val="none" w:sz="0" w:space="0" w:color="auto"/>
                                    <w:right w:val="none" w:sz="0" w:space="0" w:color="auto"/>
                                  </w:divBdr>
                                  <w:divsChild>
                                    <w:div w:id="1115250820">
                                      <w:marLeft w:val="-225"/>
                                      <w:marRight w:val="-225"/>
                                      <w:marTop w:val="0"/>
                                      <w:marBottom w:val="0"/>
                                      <w:divBdr>
                                        <w:top w:val="none" w:sz="0" w:space="0" w:color="auto"/>
                                        <w:left w:val="none" w:sz="0" w:space="0" w:color="auto"/>
                                        <w:bottom w:val="none" w:sz="0" w:space="0" w:color="auto"/>
                                        <w:right w:val="none" w:sz="0" w:space="0" w:color="auto"/>
                                      </w:divBdr>
                                      <w:divsChild>
                                        <w:div w:id="1077022586">
                                          <w:marLeft w:val="0"/>
                                          <w:marRight w:val="0"/>
                                          <w:marTop w:val="0"/>
                                          <w:marBottom w:val="0"/>
                                          <w:divBdr>
                                            <w:top w:val="none" w:sz="0" w:space="0" w:color="auto"/>
                                            <w:left w:val="none" w:sz="0" w:space="0" w:color="auto"/>
                                            <w:bottom w:val="none" w:sz="0" w:space="0" w:color="auto"/>
                                            <w:right w:val="none" w:sz="0" w:space="0" w:color="auto"/>
                                          </w:divBdr>
                                          <w:divsChild>
                                            <w:div w:id="109289758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9361379">
      <w:bodyDiv w:val="1"/>
      <w:marLeft w:val="0"/>
      <w:marRight w:val="0"/>
      <w:marTop w:val="0"/>
      <w:marBottom w:val="0"/>
      <w:divBdr>
        <w:top w:val="none" w:sz="0" w:space="0" w:color="auto"/>
        <w:left w:val="none" w:sz="0" w:space="0" w:color="auto"/>
        <w:bottom w:val="none" w:sz="0" w:space="0" w:color="auto"/>
        <w:right w:val="none" w:sz="0" w:space="0" w:color="auto"/>
      </w:divBdr>
      <w:divsChild>
        <w:div w:id="1104762556">
          <w:marLeft w:val="0"/>
          <w:marRight w:val="0"/>
          <w:marTop w:val="0"/>
          <w:marBottom w:val="0"/>
          <w:divBdr>
            <w:top w:val="none" w:sz="0" w:space="0" w:color="auto"/>
            <w:left w:val="none" w:sz="0" w:space="0" w:color="auto"/>
            <w:bottom w:val="none" w:sz="0" w:space="0" w:color="auto"/>
            <w:right w:val="none" w:sz="0" w:space="0" w:color="auto"/>
          </w:divBdr>
          <w:divsChild>
            <w:div w:id="1084110133">
              <w:marLeft w:val="0"/>
              <w:marRight w:val="0"/>
              <w:marTop w:val="0"/>
              <w:marBottom w:val="0"/>
              <w:divBdr>
                <w:top w:val="none" w:sz="0" w:space="0" w:color="auto"/>
                <w:left w:val="none" w:sz="0" w:space="0" w:color="auto"/>
                <w:bottom w:val="none" w:sz="0" w:space="0" w:color="auto"/>
                <w:right w:val="none" w:sz="0" w:space="0" w:color="auto"/>
              </w:divBdr>
              <w:divsChild>
                <w:div w:id="798106021">
                  <w:marLeft w:val="-225"/>
                  <w:marRight w:val="-225"/>
                  <w:marTop w:val="0"/>
                  <w:marBottom w:val="0"/>
                  <w:divBdr>
                    <w:top w:val="none" w:sz="0" w:space="0" w:color="auto"/>
                    <w:left w:val="none" w:sz="0" w:space="0" w:color="auto"/>
                    <w:bottom w:val="none" w:sz="0" w:space="0" w:color="auto"/>
                    <w:right w:val="none" w:sz="0" w:space="0" w:color="auto"/>
                  </w:divBdr>
                  <w:divsChild>
                    <w:div w:id="1517890120">
                      <w:marLeft w:val="0"/>
                      <w:marRight w:val="0"/>
                      <w:marTop w:val="0"/>
                      <w:marBottom w:val="0"/>
                      <w:divBdr>
                        <w:top w:val="none" w:sz="0" w:space="0" w:color="auto"/>
                        <w:left w:val="none" w:sz="0" w:space="0" w:color="auto"/>
                        <w:bottom w:val="none" w:sz="0" w:space="0" w:color="auto"/>
                        <w:right w:val="none" w:sz="0" w:space="0" w:color="auto"/>
                      </w:divBdr>
                      <w:divsChild>
                        <w:div w:id="508568931">
                          <w:marLeft w:val="-225"/>
                          <w:marRight w:val="-225"/>
                          <w:marTop w:val="0"/>
                          <w:marBottom w:val="0"/>
                          <w:divBdr>
                            <w:top w:val="none" w:sz="0" w:space="0" w:color="auto"/>
                            <w:left w:val="none" w:sz="0" w:space="0" w:color="auto"/>
                            <w:bottom w:val="none" w:sz="0" w:space="0" w:color="auto"/>
                            <w:right w:val="none" w:sz="0" w:space="0" w:color="auto"/>
                          </w:divBdr>
                          <w:divsChild>
                            <w:div w:id="138306664">
                              <w:marLeft w:val="0"/>
                              <w:marRight w:val="0"/>
                              <w:marTop w:val="0"/>
                              <w:marBottom w:val="0"/>
                              <w:divBdr>
                                <w:top w:val="none" w:sz="0" w:space="0" w:color="auto"/>
                                <w:left w:val="none" w:sz="0" w:space="0" w:color="auto"/>
                                <w:bottom w:val="none" w:sz="0" w:space="0" w:color="auto"/>
                                <w:right w:val="none" w:sz="0" w:space="0" w:color="auto"/>
                              </w:divBdr>
                              <w:divsChild>
                                <w:div w:id="1524635907">
                                  <w:marLeft w:val="0"/>
                                  <w:marRight w:val="0"/>
                                  <w:marTop w:val="0"/>
                                  <w:marBottom w:val="0"/>
                                  <w:divBdr>
                                    <w:top w:val="none" w:sz="0" w:space="0" w:color="auto"/>
                                    <w:left w:val="none" w:sz="0" w:space="0" w:color="auto"/>
                                    <w:bottom w:val="none" w:sz="0" w:space="0" w:color="auto"/>
                                    <w:right w:val="none" w:sz="0" w:space="0" w:color="auto"/>
                                  </w:divBdr>
                                  <w:divsChild>
                                    <w:div w:id="1031033440">
                                      <w:marLeft w:val="-225"/>
                                      <w:marRight w:val="-225"/>
                                      <w:marTop w:val="0"/>
                                      <w:marBottom w:val="0"/>
                                      <w:divBdr>
                                        <w:top w:val="none" w:sz="0" w:space="0" w:color="auto"/>
                                        <w:left w:val="none" w:sz="0" w:space="0" w:color="auto"/>
                                        <w:bottom w:val="none" w:sz="0" w:space="0" w:color="auto"/>
                                        <w:right w:val="none" w:sz="0" w:space="0" w:color="auto"/>
                                      </w:divBdr>
                                      <w:divsChild>
                                        <w:div w:id="135414994">
                                          <w:marLeft w:val="0"/>
                                          <w:marRight w:val="0"/>
                                          <w:marTop w:val="0"/>
                                          <w:marBottom w:val="0"/>
                                          <w:divBdr>
                                            <w:top w:val="none" w:sz="0" w:space="0" w:color="auto"/>
                                            <w:left w:val="none" w:sz="0" w:space="0" w:color="auto"/>
                                            <w:bottom w:val="none" w:sz="0" w:space="0" w:color="auto"/>
                                            <w:right w:val="none" w:sz="0" w:space="0" w:color="auto"/>
                                          </w:divBdr>
                                          <w:divsChild>
                                            <w:div w:id="166338824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2356628">
      <w:bodyDiv w:val="1"/>
      <w:marLeft w:val="851"/>
      <w:marRight w:val="851"/>
      <w:marTop w:val="1134"/>
      <w:marBottom w:val="567"/>
      <w:divBdr>
        <w:top w:val="none" w:sz="0" w:space="0" w:color="auto"/>
        <w:left w:val="none" w:sz="0" w:space="0" w:color="auto"/>
        <w:bottom w:val="none" w:sz="0" w:space="0" w:color="auto"/>
        <w:right w:val="none" w:sz="0" w:space="0" w:color="auto"/>
      </w:divBdr>
    </w:div>
    <w:div w:id="454952377">
      <w:bodyDiv w:val="1"/>
      <w:marLeft w:val="0"/>
      <w:marRight w:val="0"/>
      <w:marTop w:val="0"/>
      <w:marBottom w:val="0"/>
      <w:divBdr>
        <w:top w:val="none" w:sz="0" w:space="0" w:color="auto"/>
        <w:left w:val="none" w:sz="0" w:space="0" w:color="auto"/>
        <w:bottom w:val="none" w:sz="0" w:space="0" w:color="auto"/>
        <w:right w:val="none" w:sz="0" w:space="0" w:color="auto"/>
      </w:divBdr>
      <w:divsChild>
        <w:div w:id="1293093806">
          <w:marLeft w:val="0"/>
          <w:marRight w:val="0"/>
          <w:marTop w:val="0"/>
          <w:marBottom w:val="0"/>
          <w:divBdr>
            <w:top w:val="none" w:sz="0" w:space="0" w:color="auto"/>
            <w:left w:val="none" w:sz="0" w:space="0" w:color="auto"/>
            <w:bottom w:val="none" w:sz="0" w:space="0" w:color="auto"/>
            <w:right w:val="none" w:sz="0" w:space="0" w:color="auto"/>
          </w:divBdr>
          <w:divsChild>
            <w:div w:id="312028452">
              <w:marLeft w:val="0"/>
              <w:marRight w:val="0"/>
              <w:marTop w:val="0"/>
              <w:marBottom w:val="0"/>
              <w:divBdr>
                <w:top w:val="none" w:sz="0" w:space="0" w:color="auto"/>
                <w:left w:val="none" w:sz="0" w:space="0" w:color="auto"/>
                <w:bottom w:val="none" w:sz="0" w:space="0" w:color="auto"/>
                <w:right w:val="none" w:sz="0" w:space="0" w:color="auto"/>
              </w:divBdr>
              <w:divsChild>
                <w:div w:id="679742635">
                  <w:marLeft w:val="-225"/>
                  <w:marRight w:val="-225"/>
                  <w:marTop w:val="0"/>
                  <w:marBottom w:val="0"/>
                  <w:divBdr>
                    <w:top w:val="none" w:sz="0" w:space="0" w:color="auto"/>
                    <w:left w:val="none" w:sz="0" w:space="0" w:color="auto"/>
                    <w:bottom w:val="none" w:sz="0" w:space="0" w:color="auto"/>
                    <w:right w:val="none" w:sz="0" w:space="0" w:color="auto"/>
                  </w:divBdr>
                  <w:divsChild>
                    <w:div w:id="472872282">
                      <w:marLeft w:val="0"/>
                      <w:marRight w:val="0"/>
                      <w:marTop w:val="0"/>
                      <w:marBottom w:val="0"/>
                      <w:divBdr>
                        <w:top w:val="none" w:sz="0" w:space="0" w:color="auto"/>
                        <w:left w:val="none" w:sz="0" w:space="0" w:color="auto"/>
                        <w:bottom w:val="none" w:sz="0" w:space="0" w:color="auto"/>
                        <w:right w:val="none" w:sz="0" w:space="0" w:color="auto"/>
                      </w:divBdr>
                      <w:divsChild>
                        <w:div w:id="1018191459">
                          <w:marLeft w:val="-225"/>
                          <w:marRight w:val="-225"/>
                          <w:marTop w:val="0"/>
                          <w:marBottom w:val="0"/>
                          <w:divBdr>
                            <w:top w:val="none" w:sz="0" w:space="0" w:color="auto"/>
                            <w:left w:val="none" w:sz="0" w:space="0" w:color="auto"/>
                            <w:bottom w:val="none" w:sz="0" w:space="0" w:color="auto"/>
                            <w:right w:val="none" w:sz="0" w:space="0" w:color="auto"/>
                          </w:divBdr>
                          <w:divsChild>
                            <w:div w:id="1506750862">
                              <w:marLeft w:val="0"/>
                              <w:marRight w:val="0"/>
                              <w:marTop w:val="0"/>
                              <w:marBottom w:val="0"/>
                              <w:divBdr>
                                <w:top w:val="none" w:sz="0" w:space="0" w:color="auto"/>
                                <w:left w:val="none" w:sz="0" w:space="0" w:color="auto"/>
                                <w:bottom w:val="none" w:sz="0" w:space="0" w:color="auto"/>
                                <w:right w:val="none" w:sz="0" w:space="0" w:color="auto"/>
                              </w:divBdr>
                              <w:divsChild>
                                <w:div w:id="806124775">
                                  <w:marLeft w:val="0"/>
                                  <w:marRight w:val="0"/>
                                  <w:marTop w:val="0"/>
                                  <w:marBottom w:val="0"/>
                                  <w:divBdr>
                                    <w:top w:val="none" w:sz="0" w:space="0" w:color="auto"/>
                                    <w:left w:val="none" w:sz="0" w:space="0" w:color="auto"/>
                                    <w:bottom w:val="none" w:sz="0" w:space="0" w:color="auto"/>
                                    <w:right w:val="none" w:sz="0" w:space="0" w:color="auto"/>
                                  </w:divBdr>
                                  <w:divsChild>
                                    <w:div w:id="1040786232">
                                      <w:marLeft w:val="-225"/>
                                      <w:marRight w:val="-225"/>
                                      <w:marTop w:val="0"/>
                                      <w:marBottom w:val="0"/>
                                      <w:divBdr>
                                        <w:top w:val="none" w:sz="0" w:space="0" w:color="auto"/>
                                        <w:left w:val="none" w:sz="0" w:space="0" w:color="auto"/>
                                        <w:bottom w:val="none" w:sz="0" w:space="0" w:color="auto"/>
                                        <w:right w:val="none" w:sz="0" w:space="0" w:color="auto"/>
                                      </w:divBdr>
                                      <w:divsChild>
                                        <w:div w:id="629558039">
                                          <w:marLeft w:val="0"/>
                                          <w:marRight w:val="0"/>
                                          <w:marTop w:val="0"/>
                                          <w:marBottom w:val="0"/>
                                          <w:divBdr>
                                            <w:top w:val="none" w:sz="0" w:space="0" w:color="auto"/>
                                            <w:left w:val="none" w:sz="0" w:space="0" w:color="auto"/>
                                            <w:bottom w:val="none" w:sz="0" w:space="0" w:color="auto"/>
                                            <w:right w:val="none" w:sz="0" w:space="0" w:color="auto"/>
                                          </w:divBdr>
                                          <w:divsChild>
                                            <w:div w:id="69056879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948154">
      <w:bodyDiv w:val="1"/>
      <w:marLeft w:val="0"/>
      <w:marRight w:val="0"/>
      <w:marTop w:val="0"/>
      <w:marBottom w:val="0"/>
      <w:divBdr>
        <w:top w:val="none" w:sz="0" w:space="0" w:color="auto"/>
        <w:left w:val="none" w:sz="0" w:space="0" w:color="auto"/>
        <w:bottom w:val="none" w:sz="0" w:space="0" w:color="auto"/>
        <w:right w:val="none" w:sz="0" w:space="0" w:color="auto"/>
      </w:divBdr>
      <w:divsChild>
        <w:div w:id="2129620243">
          <w:marLeft w:val="0"/>
          <w:marRight w:val="0"/>
          <w:marTop w:val="0"/>
          <w:marBottom w:val="0"/>
          <w:divBdr>
            <w:top w:val="none" w:sz="0" w:space="0" w:color="auto"/>
            <w:left w:val="none" w:sz="0" w:space="0" w:color="auto"/>
            <w:bottom w:val="none" w:sz="0" w:space="0" w:color="auto"/>
            <w:right w:val="none" w:sz="0" w:space="0" w:color="auto"/>
          </w:divBdr>
          <w:divsChild>
            <w:div w:id="521941282">
              <w:marLeft w:val="0"/>
              <w:marRight w:val="0"/>
              <w:marTop w:val="0"/>
              <w:marBottom w:val="0"/>
              <w:divBdr>
                <w:top w:val="none" w:sz="0" w:space="0" w:color="auto"/>
                <w:left w:val="none" w:sz="0" w:space="0" w:color="auto"/>
                <w:bottom w:val="none" w:sz="0" w:space="0" w:color="auto"/>
                <w:right w:val="none" w:sz="0" w:space="0" w:color="auto"/>
              </w:divBdr>
              <w:divsChild>
                <w:div w:id="1881086888">
                  <w:marLeft w:val="-225"/>
                  <w:marRight w:val="-225"/>
                  <w:marTop w:val="0"/>
                  <w:marBottom w:val="0"/>
                  <w:divBdr>
                    <w:top w:val="none" w:sz="0" w:space="0" w:color="auto"/>
                    <w:left w:val="none" w:sz="0" w:space="0" w:color="auto"/>
                    <w:bottom w:val="none" w:sz="0" w:space="0" w:color="auto"/>
                    <w:right w:val="none" w:sz="0" w:space="0" w:color="auto"/>
                  </w:divBdr>
                  <w:divsChild>
                    <w:div w:id="995182006">
                      <w:marLeft w:val="0"/>
                      <w:marRight w:val="0"/>
                      <w:marTop w:val="0"/>
                      <w:marBottom w:val="0"/>
                      <w:divBdr>
                        <w:top w:val="none" w:sz="0" w:space="0" w:color="auto"/>
                        <w:left w:val="none" w:sz="0" w:space="0" w:color="auto"/>
                        <w:bottom w:val="none" w:sz="0" w:space="0" w:color="auto"/>
                        <w:right w:val="none" w:sz="0" w:space="0" w:color="auto"/>
                      </w:divBdr>
                      <w:divsChild>
                        <w:div w:id="514345470">
                          <w:marLeft w:val="-225"/>
                          <w:marRight w:val="-225"/>
                          <w:marTop w:val="0"/>
                          <w:marBottom w:val="0"/>
                          <w:divBdr>
                            <w:top w:val="none" w:sz="0" w:space="0" w:color="auto"/>
                            <w:left w:val="none" w:sz="0" w:space="0" w:color="auto"/>
                            <w:bottom w:val="none" w:sz="0" w:space="0" w:color="auto"/>
                            <w:right w:val="none" w:sz="0" w:space="0" w:color="auto"/>
                          </w:divBdr>
                          <w:divsChild>
                            <w:div w:id="1659378874">
                              <w:marLeft w:val="0"/>
                              <w:marRight w:val="0"/>
                              <w:marTop w:val="0"/>
                              <w:marBottom w:val="0"/>
                              <w:divBdr>
                                <w:top w:val="none" w:sz="0" w:space="0" w:color="auto"/>
                                <w:left w:val="none" w:sz="0" w:space="0" w:color="auto"/>
                                <w:bottom w:val="none" w:sz="0" w:space="0" w:color="auto"/>
                                <w:right w:val="none" w:sz="0" w:space="0" w:color="auto"/>
                              </w:divBdr>
                              <w:divsChild>
                                <w:div w:id="730811750">
                                  <w:marLeft w:val="0"/>
                                  <w:marRight w:val="0"/>
                                  <w:marTop w:val="0"/>
                                  <w:marBottom w:val="0"/>
                                  <w:divBdr>
                                    <w:top w:val="none" w:sz="0" w:space="0" w:color="auto"/>
                                    <w:left w:val="none" w:sz="0" w:space="0" w:color="auto"/>
                                    <w:bottom w:val="none" w:sz="0" w:space="0" w:color="auto"/>
                                    <w:right w:val="none" w:sz="0" w:space="0" w:color="auto"/>
                                  </w:divBdr>
                                  <w:divsChild>
                                    <w:div w:id="1521629980">
                                      <w:marLeft w:val="-225"/>
                                      <w:marRight w:val="-225"/>
                                      <w:marTop w:val="0"/>
                                      <w:marBottom w:val="0"/>
                                      <w:divBdr>
                                        <w:top w:val="none" w:sz="0" w:space="0" w:color="auto"/>
                                        <w:left w:val="none" w:sz="0" w:space="0" w:color="auto"/>
                                        <w:bottom w:val="none" w:sz="0" w:space="0" w:color="auto"/>
                                        <w:right w:val="none" w:sz="0" w:space="0" w:color="auto"/>
                                      </w:divBdr>
                                      <w:divsChild>
                                        <w:div w:id="448285920">
                                          <w:marLeft w:val="0"/>
                                          <w:marRight w:val="0"/>
                                          <w:marTop w:val="0"/>
                                          <w:marBottom w:val="0"/>
                                          <w:divBdr>
                                            <w:top w:val="none" w:sz="0" w:space="0" w:color="auto"/>
                                            <w:left w:val="none" w:sz="0" w:space="0" w:color="auto"/>
                                            <w:bottom w:val="none" w:sz="0" w:space="0" w:color="auto"/>
                                            <w:right w:val="none" w:sz="0" w:space="0" w:color="auto"/>
                                          </w:divBdr>
                                          <w:divsChild>
                                            <w:div w:id="120626178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970125">
      <w:bodyDiv w:val="1"/>
      <w:marLeft w:val="0"/>
      <w:marRight w:val="0"/>
      <w:marTop w:val="0"/>
      <w:marBottom w:val="0"/>
      <w:divBdr>
        <w:top w:val="none" w:sz="0" w:space="0" w:color="auto"/>
        <w:left w:val="none" w:sz="0" w:space="0" w:color="auto"/>
        <w:bottom w:val="none" w:sz="0" w:space="0" w:color="auto"/>
        <w:right w:val="none" w:sz="0" w:space="0" w:color="auto"/>
      </w:divBdr>
      <w:divsChild>
        <w:div w:id="47534270">
          <w:marLeft w:val="0"/>
          <w:marRight w:val="0"/>
          <w:marTop w:val="0"/>
          <w:marBottom w:val="0"/>
          <w:divBdr>
            <w:top w:val="none" w:sz="0" w:space="0" w:color="auto"/>
            <w:left w:val="none" w:sz="0" w:space="0" w:color="auto"/>
            <w:bottom w:val="none" w:sz="0" w:space="0" w:color="auto"/>
            <w:right w:val="none" w:sz="0" w:space="0" w:color="auto"/>
          </w:divBdr>
          <w:divsChild>
            <w:div w:id="381102393">
              <w:marLeft w:val="0"/>
              <w:marRight w:val="0"/>
              <w:marTop w:val="0"/>
              <w:marBottom w:val="0"/>
              <w:divBdr>
                <w:top w:val="none" w:sz="0" w:space="0" w:color="auto"/>
                <w:left w:val="none" w:sz="0" w:space="0" w:color="auto"/>
                <w:bottom w:val="none" w:sz="0" w:space="0" w:color="auto"/>
                <w:right w:val="none" w:sz="0" w:space="0" w:color="auto"/>
              </w:divBdr>
              <w:divsChild>
                <w:div w:id="104420889">
                  <w:marLeft w:val="-225"/>
                  <w:marRight w:val="-225"/>
                  <w:marTop w:val="0"/>
                  <w:marBottom w:val="0"/>
                  <w:divBdr>
                    <w:top w:val="none" w:sz="0" w:space="0" w:color="auto"/>
                    <w:left w:val="none" w:sz="0" w:space="0" w:color="auto"/>
                    <w:bottom w:val="none" w:sz="0" w:space="0" w:color="auto"/>
                    <w:right w:val="none" w:sz="0" w:space="0" w:color="auto"/>
                  </w:divBdr>
                  <w:divsChild>
                    <w:div w:id="2002928248">
                      <w:marLeft w:val="0"/>
                      <w:marRight w:val="0"/>
                      <w:marTop w:val="0"/>
                      <w:marBottom w:val="0"/>
                      <w:divBdr>
                        <w:top w:val="none" w:sz="0" w:space="0" w:color="auto"/>
                        <w:left w:val="none" w:sz="0" w:space="0" w:color="auto"/>
                        <w:bottom w:val="none" w:sz="0" w:space="0" w:color="auto"/>
                        <w:right w:val="none" w:sz="0" w:space="0" w:color="auto"/>
                      </w:divBdr>
                      <w:divsChild>
                        <w:div w:id="904533176">
                          <w:marLeft w:val="-225"/>
                          <w:marRight w:val="-225"/>
                          <w:marTop w:val="0"/>
                          <w:marBottom w:val="0"/>
                          <w:divBdr>
                            <w:top w:val="none" w:sz="0" w:space="0" w:color="auto"/>
                            <w:left w:val="none" w:sz="0" w:space="0" w:color="auto"/>
                            <w:bottom w:val="none" w:sz="0" w:space="0" w:color="auto"/>
                            <w:right w:val="none" w:sz="0" w:space="0" w:color="auto"/>
                          </w:divBdr>
                          <w:divsChild>
                            <w:div w:id="1518929468">
                              <w:marLeft w:val="0"/>
                              <w:marRight w:val="0"/>
                              <w:marTop w:val="0"/>
                              <w:marBottom w:val="0"/>
                              <w:divBdr>
                                <w:top w:val="none" w:sz="0" w:space="0" w:color="auto"/>
                                <w:left w:val="none" w:sz="0" w:space="0" w:color="auto"/>
                                <w:bottom w:val="none" w:sz="0" w:space="0" w:color="auto"/>
                                <w:right w:val="none" w:sz="0" w:space="0" w:color="auto"/>
                              </w:divBdr>
                              <w:divsChild>
                                <w:div w:id="785924426">
                                  <w:marLeft w:val="0"/>
                                  <w:marRight w:val="0"/>
                                  <w:marTop w:val="0"/>
                                  <w:marBottom w:val="0"/>
                                  <w:divBdr>
                                    <w:top w:val="none" w:sz="0" w:space="0" w:color="auto"/>
                                    <w:left w:val="none" w:sz="0" w:space="0" w:color="auto"/>
                                    <w:bottom w:val="none" w:sz="0" w:space="0" w:color="auto"/>
                                    <w:right w:val="none" w:sz="0" w:space="0" w:color="auto"/>
                                  </w:divBdr>
                                  <w:divsChild>
                                    <w:div w:id="634723127">
                                      <w:marLeft w:val="-225"/>
                                      <w:marRight w:val="-225"/>
                                      <w:marTop w:val="0"/>
                                      <w:marBottom w:val="0"/>
                                      <w:divBdr>
                                        <w:top w:val="none" w:sz="0" w:space="0" w:color="auto"/>
                                        <w:left w:val="none" w:sz="0" w:space="0" w:color="auto"/>
                                        <w:bottom w:val="none" w:sz="0" w:space="0" w:color="auto"/>
                                        <w:right w:val="none" w:sz="0" w:space="0" w:color="auto"/>
                                      </w:divBdr>
                                      <w:divsChild>
                                        <w:div w:id="409037706">
                                          <w:marLeft w:val="0"/>
                                          <w:marRight w:val="0"/>
                                          <w:marTop w:val="0"/>
                                          <w:marBottom w:val="0"/>
                                          <w:divBdr>
                                            <w:top w:val="none" w:sz="0" w:space="0" w:color="auto"/>
                                            <w:left w:val="none" w:sz="0" w:space="0" w:color="auto"/>
                                            <w:bottom w:val="none" w:sz="0" w:space="0" w:color="auto"/>
                                            <w:right w:val="none" w:sz="0" w:space="0" w:color="auto"/>
                                          </w:divBdr>
                                          <w:divsChild>
                                            <w:div w:id="60125934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9320208">
      <w:bodyDiv w:val="1"/>
      <w:marLeft w:val="0"/>
      <w:marRight w:val="0"/>
      <w:marTop w:val="0"/>
      <w:marBottom w:val="0"/>
      <w:divBdr>
        <w:top w:val="none" w:sz="0" w:space="0" w:color="auto"/>
        <w:left w:val="none" w:sz="0" w:space="0" w:color="auto"/>
        <w:bottom w:val="none" w:sz="0" w:space="0" w:color="auto"/>
        <w:right w:val="none" w:sz="0" w:space="0" w:color="auto"/>
      </w:divBdr>
      <w:divsChild>
        <w:div w:id="1356300098">
          <w:marLeft w:val="0"/>
          <w:marRight w:val="0"/>
          <w:marTop w:val="0"/>
          <w:marBottom w:val="0"/>
          <w:divBdr>
            <w:top w:val="none" w:sz="0" w:space="0" w:color="auto"/>
            <w:left w:val="none" w:sz="0" w:space="0" w:color="auto"/>
            <w:bottom w:val="none" w:sz="0" w:space="0" w:color="auto"/>
            <w:right w:val="none" w:sz="0" w:space="0" w:color="auto"/>
          </w:divBdr>
          <w:divsChild>
            <w:div w:id="232277359">
              <w:marLeft w:val="0"/>
              <w:marRight w:val="0"/>
              <w:marTop w:val="0"/>
              <w:marBottom w:val="0"/>
              <w:divBdr>
                <w:top w:val="none" w:sz="0" w:space="0" w:color="auto"/>
                <w:left w:val="none" w:sz="0" w:space="0" w:color="auto"/>
                <w:bottom w:val="none" w:sz="0" w:space="0" w:color="auto"/>
                <w:right w:val="none" w:sz="0" w:space="0" w:color="auto"/>
              </w:divBdr>
              <w:divsChild>
                <w:div w:id="1391686301">
                  <w:marLeft w:val="-225"/>
                  <w:marRight w:val="-225"/>
                  <w:marTop w:val="0"/>
                  <w:marBottom w:val="0"/>
                  <w:divBdr>
                    <w:top w:val="none" w:sz="0" w:space="0" w:color="auto"/>
                    <w:left w:val="none" w:sz="0" w:space="0" w:color="auto"/>
                    <w:bottom w:val="none" w:sz="0" w:space="0" w:color="auto"/>
                    <w:right w:val="none" w:sz="0" w:space="0" w:color="auto"/>
                  </w:divBdr>
                  <w:divsChild>
                    <w:div w:id="1536429763">
                      <w:marLeft w:val="0"/>
                      <w:marRight w:val="0"/>
                      <w:marTop w:val="0"/>
                      <w:marBottom w:val="0"/>
                      <w:divBdr>
                        <w:top w:val="none" w:sz="0" w:space="0" w:color="auto"/>
                        <w:left w:val="none" w:sz="0" w:space="0" w:color="auto"/>
                        <w:bottom w:val="none" w:sz="0" w:space="0" w:color="auto"/>
                        <w:right w:val="none" w:sz="0" w:space="0" w:color="auto"/>
                      </w:divBdr>
                      <w:divsChild>
                        <w:div w:id="1838569447">
                          <w:marLeft w:val="-225"/>
                          <w:marRight w:val="-225"/>
                          <w:marTop w:val="0"/>
                          <w:marBottom w:val="0"/>
                          <w:divBdr>
                            <w:top w:val="none" w:sz="0" w:space="0" w:color="auto"/>
                            <w:left w:val="none" w:sz="0" w:space="0" w:color="auto"/>
                            <w:bottom w:val="none" w:sz="0" w:space="0" w:color="auto"/>
                            <w:right w:val="none" w:sz="0" w:space="0" w:color="auto"/>
                          </w:divBdr>
                          <w:divsChild>
                            <w:div w:id="434907715">
                              <w:marLeft w:val="0"/>
                              <w:marRight w:val="0"/>
                              <w:marTop w:val="0"/>
                              <w:marBottom w:val="0"/>
                              <w:divBdr>
                                <w:top w:val="none" w:sz="0" w:space="0" w:color="auto"/>
                                <w:left w:val="none" w:sz="0" w:space="0" w:color="auto"/>
                                <w:bottom w:val="none" w:sz="0" w:space="0" w:color="auto"/>
                                <w:right w:val="none" w:sz="0" w:space="0" w:color="auto"/>
                              </w:divBdr>
                              <w:divsChild>
                                <w:div w:id="69498752">
                                  <w:marLeft w:val="0"/>
                                  <w:marRight w:val="0"/>
                                  <w:marTop w:val="0"/>
                                  <w:marBottom w:val="0"/>
                                  <w:divBdr>
                                    <w:top w:val="none" w:sz="0" w:space="0" w:color="auto"/>
                                    <w:left w:val="none" w:sz="0" w:space="0" w:color="auto"/>
                                    <w:bottom w:val="none" w:sz="0" w:space="0" w:color="auto"/>
                                    <w:right w:val="none" w:sz="0" w:space="0" w:color="auto"/>
                                  </w:divBdr>
                                  <w:divsChild>
                                    <w:div w:id="2100367875">
                                      <w:marLeft w:val="-225"/>
                                      <w:marRight w:val="-225"/>
                                      <w:marTop w:val="0"/>
                                      <w:marBottom w:val="0"/>
                                      <w:divBdr>
                                        <w:top w:val="none" w:sz="0" w:space="0" w:color="auto"/>
                                        <w:left w:val="none" w:sz="0" w:space="0" w:color="auto"/>
                                        <w:bottom w:val="none" w:sz="0" w:space="0" w:color="auto"/>
                                        <w:right w:val="none" w:sz="0" w:space="0" w:color="auto"/>
                                      </w:divBdr>
                                      <w:divsChild>
                                        <w:div w:id="749040087">
                                          <w:marLeft w:val="0"/>
                                          <w:marRight w:val="0"/>
                                          <w:marTop w:val="0"/>
                                          <w:marBottom w:val="0"/>
                                          <w:divBdr>
                                            <w:top w:val="none" w:sz="0" w:space="0" w:color="auto"/>
                                            <w:left w:val="none" w:sz="0" w:space="0" w:color="auto"/>
                                            <w:bottom w:val="none" w:sz="0" w:space="0" w:color="auto"/>
                                            <w:right w:val="none" w:sz="0" w:space="0" w:color="auto"/>
                                          </w:divBdr>
                                          <w:divsChild>
                                            <w:div w:id="59147438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4517601">
      <w:bodyDiv w:val="1"/>
      <w:marLeft w:val="0"/>
      <w:marRight w:val="0"/>
      <w:marTop w:val="0"/>
      <w:marBottom w:val="0"/>
      <w:divBdr>
        <w:top w:val="none" w:sz="0" w:space="0" w:color="auto"/>
        <w:left w:val="none" w:sz="0" w:space="0" w:color="auto"/>
        <w:bottom w:val="none" w:sz="0" w:space="0" w:color="auto"/>
        <w:right w:val="none" w:sz="0" w:space="0" w:color="auto"/>
      </w:divBdr>
      <w:divsChild>
        <w:div w:id="1985423881">
          <w:marLeft w:val="0"/>
          <w:marRight w:val="0"/>
          <w:marTop w:val="0"/>
          <w:marBottom w:val="0"/>
          <w:divBdr>
            <w:top w:val="none" w:sz="0" w:space="0" w:color="auto"/>
            <w:left w:val="none" w:sz="0" w:space="0" w:color="auto"/>
            <w:bottom w:val="none" w:sz="0" w:space="0" w:color="auto"/>
            <w:right w:val="none" w:sz="0" w:space="0" w:color="auto"/>
          </w:divBdr>
          <w:divsChild>
            <w:div w:id="1160927651">
              <w:marLeft w:val="0"/>
              <w:marRight w:val="0"/>
              <w:marTop w:val="0"/>
              <w:marBottom w:val="0"/>
              <w:divBdr>
                <w:top w:val="none" w:sz="0" w:space="0" w:color="auto"/>
                <w:left w:val="none" w:sz="0" w:space="0" w:color="auto"/>
                <w:bottom w:val="none" w:sz="0" w:space="0" w:color="auto"/>
                <w:right w:val="none" w:sz="0" w:space="0" w:color="auto"/>
              </w:divBdr>
              <w:divsChild>
                <w:div w:id="1874538287">
                  <w:marLeft w:val="-225"/>
                  <w:marRight w:val="-225"/>
                  <w:marTop w:val="0"/>
                  <w:marBottom w:val="0"/>
                  <w:divBdr>
                    <w:top w:val="none" w:sz="0" w:space="0" w:color="auto"/>
                    <w:left w:val="none" w:sz="0" w:space="0" w:color="auto"/>
                    <w:bottom w:val="none" w:sz="0" w:space="0" w:color="auto"/>
                    <w:right w:val="none" w:sz="0" w:space="0" w:color="auto"/>
                  </w:divBdr>
                  <w:divsChild>
                    <w:div w:id="1806968684">
                      <w:marLeft w:val="0"/>
                      <w:marRight w:val="0"/>
                      <w:marTop w:val="0"/>
                      <w:marBottom w:val="0"/>
                      <w:divBdr>
                        <w:top w:val="none" w:sz="0" w:space="0" w:color="auto"/>
                        <w:left w:val="none" w:sz="0" w:space="0" w:color="auto"/>
                        <w:bottom w:val="none" w:sz="0" w:space="0" w:color="auto"/>
                        <w:right w:val="none" w:sz="0" w:space="0" w:color="auto"/>
                      </w:divBdr>
                      <w:divsChild>
                        <w:div w:id="229312665">
                          <w:marLeft w:val="-225"/>
                          <w:marRight w:val="-225"/>
                          <w:marTop w:val="0"/>
                          <w:marBottom w:val="0"/>
                          <w:divBdr>
                            <w:top w:val="none" w:sz="0" w:space="0" w:color="auto"/>
                            <w:left w:val="none" w:sz="0" w:space="0" w:color="auto"/>
                            <w:bottom w:val="none" w:sz="0" w:space="0" w:color="auto"/>
                            <w:right w:val="none" w:sz="0" w:space="0" w:color="auto"/>
                          </w:divBdr>
                          <w:divsChild>
                            <w:div w:id="823275343">
                              <w:marLeft w:val="0"/>
                              <w:marRight w:val="0"/>
                              <w:marTop w:val="0"/>
                              <w:marBottom w:val="0"/>
                              <w:divBdr>
                                <w:top w:val="none" w:sz="0" w:space="0" w:color="auto"/>
                                <w:left w:val="none" w:sz="0" w:space="0" w:color="auto"/>
                                <w:bottom w:val="none" w:sz="0" w:space="0" w:color="auto"/>
                                <w:right w:val="none" w:sz="0" w:space="0" w:color="auto"/>
                              </w:divBdr>
                              <w:divsChild>
                                <w:div w:id="270095661">
                                  <w:marLeft w:val="0"/>
                                  <w:marRight w:val="0"/>
                                  <w:marTop w:val="0"/>
                                  <w:marBottom w:val="0"/>
                                  <w:divBdr>
                                    <w:top w:val="none" w:sz="0" w:space="0" w:color="auto"/>
                                    <w:left w:val="none" w:sz="0" w:space="0" w:color="auto"/>
                                    <w:bottom w:val="none" w:sz="0" w:space="0" w:color="auto"/>
                                    <w:right w:val="none" w:sz="0" w:space="0" w:color="auto"/>
                                  </w:divBdr>
                                  <w:divsChild>
                                    <w:div w:id="1446463470">
                                      <w:marLeft w:val="-225"/>
                                      <w:marRight w:val="-225"/>
                                      <w:marTop w:val="0"/>
                                      <w:marBottom w:val="0"/>
                                      <w:divBdr>
                                        <w:top w:val="none" w:sz="0" w:space="0" w:color="auto"/>
                                        <w:left w:val="none" w:sz="0" w:space="0" w:color="auto"/>
                                        <w:bottom w:val="none" w:sz="0" w:space="0" w:color="auto"/>
                                        <w:right w:val="none" w:sz="0" w:space="0" w:color="auto"/>
                                      </w:divBdr>
                                      <w:divsChild>
                                        <w:div w:id="871847624">
                                          <w:marLeft w:val="0"/>
                                          <w:marRight w:val="0"/>
                                          <w:marTop w:val="0"/>
                                          <w:marBottom w:val="0"/>
                                          <w:divBdr>
                                            <w:top w:val="none" w:sz="0" w:space="0" w:color="auto"/>
                                            <w:left w:val="none" w:sz="0" w:space="0" w:color="auto"/>
                                            <w:bottom w:val="none" w:sz="0" w:space="0" w:color="auto"/>
                                            <w:right w:val="none" w:sz="0" w:space="0" w:color="auto"/>
                                          </w:divBdr>
                                          <w:divsChild>
                                            <w:div w:id="78507695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565426">
      <w:bodyDiv w:val="1"/>
      <w:marLeft w:val="0"/>
      <w:marRight w:val="0"/>
      <w:marTop w:val="0"/>
      <w:marBottom w:val="0"/>
      <w:divBdr>
        <w:top w:val="none" w:sz="0" w:space="0" w:color="auto"/>
        <w:left w:val="none" w:sz="0" w:space="0" w:color="auto"/>
        <w:bottom w:val="none" w:sz="0" w:space="0" w:color="auto"/>
        <w:right w:val="none" w:sz="0" w:space="0" w:color="auto"/>
      </w:divBdr>
      <w:divsChild>
        <w:div w:id="2034305900">
          <w:marLeft w:val="0"/>
          <w:marRight w:val="0"/>
          <w:marTop w:val="0"/>
          <w:marBottom w:val="0"/>
          <w:divBdr>
            <w:top w:val="none" w:sz="0" w:space="0" w:color="auto"/>
            <w:left w:val="none" w:sz="0" w:space="0" w:color="auto"/>
            <w:bottom w:val="none" w:sz="0" w:space="0" w:color="auto"/>
            <w:right w:val="none" w:sz="0" w:space="0" w:color="auto"/>
          </w:divBdr>
          <w:divsChild>
            <w:div w:id="1677536559">
              <w:marLeft w:val="0"/>
              <w:marRight w:val="0"/>
              <w:marTop w:val="0"/>
              <w:marBottom w:val="0"/>
              <w:divBdr>
                <w:top w:val="none" w:sz="0" w:space="0" w:color="auto"/>
                <w:left w:val="none" w:sz="0" w:space="0" w:color="auto"/>
                <w:bottom w:val="none" w:sz="0" w:space="0" w:color="auto"/>
                <w:right w:val="none" w:sz="0" w:space="0" w:color="auto"/>
              </w:divBdr>
              <w:divsChild>
                <w:div w:id="647633657">
                  <w:marLeft w:val="-225"/>
                  <w:marRight w:val="-225"/>
                  <w:marTop w:val="0"/>
                  <w:marBottom w:val="0"/>
                  <w:divBdr>
                    <w:top w:val="none" w:sz="0" w:space="0" w:color="auto"/>
                    <w:left w:val="none" w:sz="0" w:space="0" w:color="auto"/>
                    <w:bottom w:val="none" w:sz="0" w:space="0" w:color="auto"/>
                    <w:right w:val="none" w:sz="0" w:space="0" w:color="auto"/>
                  </w:divBdr>
                  <w:divsChild>
                    <w:div w:id="1767994470">
                      <w:marLeft w:val="0"/>
                      <w:marRight w:val="0"/>
                      <w:marTop w:val="0"/>
                      <w:marBottom w:val="0"/>
                      <w:divBdr>
                        <w:top w:val="none" w:sz="0" w:space="0" w:color="auto"/>
                        <w:left w:val="none" w:sz="0" w:space="0" w:color="auto"/>
                        <w:bottom w:val="none" w:sz="0" w:space="0" w:color="auto"/>
                        <w:right w:val="none" w:sz="0" w:space="0" w:color="auto"/>
                      </w:divBdr>
                      <w:divsChild>
                        <w:div w:id="1063135661">
                          <w:marLeft w:val="-225"/>
                          <w:marRight w:val="-225"/>
                          <w:marTop w:val="0"/>
                          <w:marBottom w:val="0"/>
                          <w:divBdr>
                            <w:top w:val="none" w:sz="0" w:space="0" w:color="auto"/>
                            <w:left w:val="none" w:sz="0" w:space="0" w:color="auto"/>
                            <w:bottom w:val="none" w:sz="0" w:space="0" w:color="auto"/>
                            <w:right w:val="none" w:sz="0" w:space="0" w:color="auto"/>
                          </w:divBdr>
                          <w:divsChild>
                            <w:div w:id="657272083">
                              <w:marLeft w:val="0"/>
                              <w:marRight w:val="0"/>
                              <w:marTop w:val="0"/>
                              <w:marBottom w:val="0"/>
                              <w:divBdr>
                                <w:top w:val="none" w:sz="0" w:space="0" w:color="auto"/>
                                <w:left w:val="none" w:sz="0" w:space="0" w:color="auto"/>
                                <w:bottom w:val="none" w:sz="0" w:space="0" w:color="auto"/>
                                <w:right w:val="none" w:sz="0" w:space="0" w:color="auto"/>
                              </w:divBdr>
                              <w:divsChild>
                                <w:div w:id="1349211680">
                                  <w:marLeft w:val="0"/>
                                  <w:marRight w:val="0"/>
                                  <w:marTop w:val="0"/>
                                  <w:marBottom w:val="0"/>
                                  <w:divBdr>
                                    <w:top w:val="none" w:sz="0" w:space="0" w:color="auto"/>
                                    <w:left w:val="none" w:sz="0" w:space="0" w:color="auto"/>
                                    <w:bottom w:val="none" w:sz="0" w:space="0" w:color="auto"/>
                                    <w:right w:val="none" w:sz="0" w:space="0" w:color="auto"/>
                                  </w:divBdr>
                                  <w:divsChild>
                                    <w:div w:id="2132625041">
                                      <w:marLeft w:val="-225"/>
                                      <w:marRight w:val="-225"/>
                                      <w:marTop w:val="0"/>
                                      <w:marBottom w:val="0"/>
                                      <w:divBdr>
                                        <w:top w:val="none" w:sz="0" w:space="0" w:color="auto"/>
                                        <w:left w:val="none" w:sz="0" w:space="0" w:color="auto"/>
                                        <w:bottom w:val="none" w:sz="0" w:space="0" w:color="auto"/>
                                        <w:right w:val="none" w:sz="0" w:space="0" w:color="auto"/>
                                      </w:divBdr>
                                      <w:divsChild>
                                        <w:div w:id="545874107">
                                          <w:marLeft w:val="0"/>
                                          <w:marRight w:val="0"/>
                                          <w:marTop w:val="0"/>
                                          <w:marBottom w:val="0"/>
                                          <w:divBdr>
                                            <w:top w:val="none" w:sz="0" w:space="0" w:color="auto"/>
                                            <w:left w:val="none" w:sz="0" w:space="0" w:color="auto"/>
                                            <w:bottom w:val="none" w:sz="0" w:space="0" w:color="auto"/>
                                            <w:right w:val="none" w:sz="0" w:space="0" w:color="auto"/>
                                          </w:divBdr>
                                          <w:divsChild>
                                            <w:div w:id="73212535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244290">
      <w:bodyDiv w:val="1"/>
      <w:marLeft w:val="0"/>
      <w:marRight w:val="0"/>
      <w:marTop w:val="0"/>
      <w:marBottom w:val="0"/>
      <w:divBdr>
        <w:top w:val="none" w:sz="0" w:space="0" w:color="auto"/>
        <w:left w:val="none" w:sz="0" w:space="0" w:color="auto"/>
        <w:bottom w:val="none" w:sz="0" w:space="0" w:color="auto"/>
        <w:right w:val="none" w:sz="0" w:space="0" w:color="auto"/>
      </w:divBdr>
      <w:divsChild>
        <w:div w:id="43453232">
          <w:marLeft w:val="0"/>
          <w:marRight w:val="0"/>
          <w:marTop w:val="0"/>
          <w:marBottom w:val="0"/>
          <w:divBdr>
            <w:top w:val="none" w:sz="0" w:space="0" w:color="auto"/>
            <w:left w:val="none" w:sz="0" w:space="0" w:color="auto"/>
            <w:bottom w:val="none" w:sz="0" w:space="0" w:color="auto"/>
            <w:right w:val="none" w:sz="0" w:space="0" w:color="auto"/>
          </w:divBdr>
          <w:divsChild>
            <w:div w:id="1672172673">
              <w:marLeft w:val="0"/>
              <w:marRight w:val="0"/>
              <w:marTop w:val="0"/>
              <w:marBottom w:val="0"/>
              <w:divBdr>
                <w:top w:val="none" w:sz="0" w:space="0" w:color="auto"/>
                <w:left w:val="none" w:sz="0" w:space="0" w:color="auto"/>
                <w:bottom w:val="none" w:sz="0" w:space="0" w:color="auto"/>
                <w:right w:val="none" w:sz="0" w:space="0" w:color="auto"/>
              </w:divBdr>
              <w:divsChild>
                <w:div w:id="1714766902">
                  <w:marLeft w:val="-225"/>
                  <w:marRight w:val="-225"/>
                  <w:marTop w:val="0"/>
                  <w:marBottom w:val="0"/>
                  <w:divBdr>
                    <w:top w:val="none" w:sz="0" w:space="0" w:color="auto"/>
                    <w:left w:val="none" w:sz="0" w:space="0" w:color="auto"/>
                    <w:bottom w:val="none" w:sz="0" w:space="0" w:color="auto"/>
                    <w:right w:val="none" w:sz="0" w:space="0" w:color="auto"/>
                  </w:divBdr>
                  <w:divsChild>
                    <w:div w:id="2143422637">
                      <w:marLeft w:val="0"/>
                      <w:marRight w:val="0"/>
                      <w:marTop w:val="0"/>
                      <w:marBottom w:val="0"/>
                      <w:divBdr>
                        <w:top w:val="none" w:sz="0" w:space="0" w:color="auto"/>
                        <w:left w:val="none" w:sz="0" w:space="0" w:color="auto"/>
                        <w:bottom w:val="none" w:sz="0" w:space="0" w:color="auto"/>
                        <w:right w:val="none" w:sz="0" w:space="0" w:color="auto"/>
                      </w:divBdr>
                      <w:divsChild>
                        <w:div w:id="2068217411">
                          <w:marLeft w:val="-225"/>
                          <w:marRight w:val="-225"/>
                          <w:marTop w:val="0"/>
                          <w:marBottom w:val="0"/>
                          <w:divBdr>
                            <w:top w:val="none" w:sz="0" w:space="0" w:color="auto"/>
                            <w:left w:val="none" w:sz="0" w:space="0" w:color="auto"/>
                            <w:bottom w:val="none" w:sz="0" w:space="0" w:color="auto"/>
                            <w:right w:val="none" w:sz="0" w:space="0" w:color="auto"/>
                          </w:divBdr>
                          <w:divsChild>
                            <w:div w:id="2126188972">
                              <w:marLeft w:val="0"/>
                              <w:marRight w:val="0"/>
                              <w:marTop w:val="0"/>
                              <w:marBottom w:val="0"/>
                              <w:divBdr>
                                <w:top w:val="none" w:sz="0" w:space="0" w:color="auto"/>
                                <w:left w:val="none" w:sz="0" w:space="0" w:color="auto"/>
                                <w:bottom w:val="none" w:sz="0" w:space="0" w:color="auto"/>
                                <w:right w:val="none" w:sz="0" w:space="0" w:color="auto"/>
                              </w:divBdr>
                              <w:divsChild>
                                <w:div w:id="1805729736">
                                  <w:marLeft w:val="0"/>
                                  <w:marRight w:val="0"/>
                                  <w:marTop w:val="0"/>
                                  <w:marBottom w:val="0"/>
                                  <w:divBdr>
                                    <w:top w:val="none" w:sz="0" w:space="0" w:color="auto"/>
                                    <w:left w:val="none" w:sz="0" w:space="0" w:color="auto"/>
                                    <w:bottom w:val="none" w:sz="0" w:space="0" w:color="auto"/>
                                    <w:right w:val="none" w:sz="0" w:space="0" w:color="auto"/>
                                  </w:divBdr>
                                  <w:divsChild>
                                    <w:div w:id="1051609793">
                                      <w:marLeft w:val="-225"/>
                                      <w:marRight w:val="-225"/>
                                      <w:marTop w:val="0"/>
                                      <w:marBottom w:val="0"/>
                                      <w:divBdr>
                                        <w:top w:val="none" w:sz="0" w:space="0" w:color="auto"/>
                                        <w:left w:val="none" w:sz="0" w:space="0" w:color="auto"/>
                                        <w:bottom w:val="none" w:sz="0" w:space="0" w:color="auto"/>
                                        <w:right w:val="none" w:sz="0" w:space="0" w:color="auto"/>
                                      </w:divBdr>
                                      <w:divsChild>
                                        <w:div w:id="1630354965">
                                          <w:marLeft w:val="0"/>
                                          <w:marRight w:val="0"/>
                                          <w:marTop w:val="0"/>
                                          <w:marBottom w:val="0"/>
                                          <w:divBdr>
                                            <w:top w:val="none" w:sz="0" w:space="0" w:color="auto"/>
                                            <w:left w:val="none" w:sz="0" w:space="0" w:color="auto"/>
                                            <w:bottom w:val="none" w:sz="0" w:space="0" w:color="auto"/>
                                            <w:right w:val="none" w:sz="0" w:space="0" w:color="auto"/>
                                          </w:divBdr>
                                          <w:divsChild>
                                            <w:div w:id="29792767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940215">
      <w:bodyDiv w:val="1"/>
      <w:marLeft w:val="0"/>
      <w:marRight w:val="0"/>
      <w:marTop w:val="0"/>
      <w:marBottom w:val="0"/>
      <w:divBdr>
        <w:top w:val="none" w:sz="0" w:space="0" w:color="auto"/>
        <w:left w:val="none" w:sz="0" w:space="0" w:color="auto"/>
        <w:bottom w:val="none" w:sz="0" w:space="0" w:color="auto"/>
        <w:right w:val="none" w:sz="0" w:space="0" w:color="auto"/>
      </w:divBdr>
      <w:divsChild>
        <w:div w:id="848567796">
          <w:marLeft w:val="0"/>
          <w:marRight w:val="0"/>
          <w:marTop w:val="0"/>
          <w:marBottom w:val="0"/>
          <w:divBdr>
            <w:top w:val="none" w:sz="0" w:space="0" w:color="auto"/>
            <w:left w:val="none" w:sz="0" w:space="0" w:color="auto"/>
            <w:bottom w:val="none" w:sz="0" w:space="0" w:color="auto"/>
            <w:right w:val="none" w:sz="0" w:space="0" w:color="auto"/>
          </w:divBdr>
          <w:divsChild>
            <w:div w:id="1503350390">
              <w:marLeft w:val="0"/>
              <w:marRight w:val="0"/>
              <w:marTop w:val="0"/>
              <w:marBottom w:val="0"/>
              <w:divBdr>
                <w:top w:val="none" w:sz="0" w:space="0" w:color="auto"/>
                <w:left w:val="none" w:sz="0" w:space="0" w:color="auto"/>
                <w:bottom w:val="none" w:sz="0" w:space="0" w:color="auto"/>
                <w:right w:val="none" w:sz="0" w:space="0" w:color="auto"/>
              </w:divBdr>
              <w:divsChild>
                <w:div w:id="131755278">
                  <w:marLeft w:val="-225"/>
                  <w:marRight w:val="-225"/>
                  <w:marTop w:val="0"/>
                  <w:marBottom w:val="0"/>
                  <w:divBdr>
                    <w:top w:val="none" w:sz="0" w:space="0" w:color="auto"/>
                    <w:left w:val="none" w:sz="0" w:space="0" w:color="auto"/>
                    <w:bottom w:val="none" w:sz="0" w:space="0" w:color="auto"/>
                    <w:right w:val="none" w:sz="0" w:space="0" w:color="auto"/>
                  </w:divBdr>
                  <w:divsChild>
                    <w:div w:id="1444887456">
                      <w:marLeft w:val="0"/>
                      <w:marRight w:val="0"/>
                      <w:marTop w:val="0"/>
                      <w:marBottom w:val="0"/>
                      <w:divBdr>
                        <w:top w:val="none" w:sz="0" w:space="0" w:color="auto"/>
                        <w:left w:val="none" w:sz="0" w:space="0" w:color="auto"/>
                        <w:bottom w:val="none" w:sz="0" w:space="0" w:color="auto"/>
                        <w:right w:val="none" w:sz="0" w:space="0" w:color="auto"/>
                      </w:divBdr>
                      <w:divsChild>
                        <w:div w:id="1654946470">
                          <w:marLeft w:val="-225"/>
                          <w:marRight w:val="-225"/>
                          <w:marTop w:val="0"/>
                          <w:marBottom w:val="0"/>
                          <w:divBdr>
                            <w:top w:val="none" w:sz="0" w:space="0" w:color="auto"/>
                            <w:left w:val="none" w:sz="0" w:space="0" w:color="auto"/>
                            <w:bottom w:val="none" w:sz="0" w:space="0" w:color="auto"/>
                            <w:right w:val="none" w:sz="0" w:space="0" w:color="auto"/>
                          </w:divBdr>
                          <w:divsChild>
                            <w:div w:id="1688679543">
                              <w:marLeft w:val="0"/>
                              <w:marRight w:val="0"/>
                              <w:marTop w:val="0"/>
                              <w:marBottom w:val="0"/>
                              <w:divBdr>
                                <w:top w:val="none" w:sz="0" w:space="0" w:color="auto"/>
                                <w:left w:val="none" w:sz="0" w:space="0" w:color="auto"/>
                                <w:bottom w:val="none" w:sz="0" w:space="0" w:color="auto"/>
                                <w:right w:val="none" w:sz="0" w:space="0" w:color="auto"/>
                              </w:divBdr>
                              <w:divsChild>
                                <w:div w:id="1423797248">
                                  <w:marLeft w:val="0"/>
                                  <w:marRight w:val="0"/>
                                  <w:marTop w:val="0"/>
                                  <w:marBottom w:val="0"/>
                                  <w:divBdr>
                                    <w:top w:val="none" w:sz="0" w:space="0" w:color="auto"/>
                                    <w:left w:val="none" w:sz="0" w:space="0" w:color="auto"/>
                                    <w:bottom w:val="none" w:sz="0" w:space="0" w:color="auto"/>
                                    <w:right w:val="none" w:sz="0" w:space="0" w:color="auto"/>
                                  </w:divBdr>
                                  <w:divsChild>
                                    <w:div w:id="684675040">
                                      <w:marLeft w:val="-225"/>
                                      <w:marRight w:val="-225"/>
                                      <w:marTop w:val="0"/>
                                      <w:marBottom w:val="0"/>
                                      <w:divBdr>
                                        <w:top w:val="none" w:sz="0" w:space="0" w:color="auto"/>
                                        <w:left w:val="none" w:sz="0" w:space="0" w:color="auto"/>
                                        <w:bottom w:val="none" w:sz="0" w:space="0" w:color="auto"/>
                                        <w:right w:val="none" w:sz="0" w:space="0" w:color="auto"/>
                                      </w:divBdr>
                                      <w:divsChild>
                                        <w:div w:id="454564717">
                                          <w:marLeft w:val="0"/>
                                          <w:marRight w:val="0"/>
                                          <w:marTop w:val="0"/>
                                          <w:marBottom w:val="0"/>
                                          <w:divBdr>
                                            <w:top w:val="none" w:sz="0" w:space="0" w:color="auto"/>
                                            <w:left w:val="none" w:sz="0" w:space="0" w:color="auto"/>
                                            <w:bottom w:val="none" w:sz="0" w:space="0" w:color="auto"/>
                                            <w:right w:val="none" w:sz="0" w:space="0" w:color="auto"/>
                                          </w:divBdr>
                                          <w:divsChild>
                                            <w:div w:id="7571126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8623038">
      <w:bodyDiv w:val="1"/>
      <w:marLeft w:val="0"/>
      <w:marRight w:val="0"/>
      <w:marTop w:val="0"/>
      <w:marBottom w:val="0"/>
      <w:divBdr>
        <w:top w:val="none" w:sz="0" w:space="0" w:color="auto"/>
        <w:left w:val="none" w:sz="0" w:space="0" w:color="auto"/>
        <w:bottom w:val="none" w:sz="0" w:space="0" w:color="auto"/>
        <w:right w:val="none" w:sz="0" w:space="0" w:color="auto"/>
      </w:divBdr>
      <w:divsChild>
        <w:div w:id="419526442">
          <w:marLeft w:val="0"/>
          <w:marRight w:val="0"/>
          <w:marTop w:val="0"/>
          <w:marBottom w:val="0"/>
          <w:divBdr>
            <w:top w:val="none" w:sz="0" w:space="0" w:color="auto"/>
            <w:left w:val="none" w:sz="0" w:space="0" w:color="auto"/>
            <w:bottom w:val="none" w:sz="0" w:space="0" w:color="auto"/>
            <w:right w:val="none" w:sz="0" w:space="0" w:color="auto"/>
          </w:divBdr>
          <w:divsChild>
            <w:div w:id="866716533">
              <w:marLeft w:val="0"/>
              <w:marRight w:val="0"/>
              <w:marTop w:val="0"/>
              <w:marBottom w:val="0"/>
              <w:divBdr>
                <w:top w:val="none" w:sz="0" w:space="0" w:color="auto"/>
                <w:left w:val="none" w:sz="0" w:space="0" w:color="auto"/>
                <w:bottom w:val="none" w:sz="0" w:space="0" w:color="auto"/>
                <w:right w:val="none" w:sz="0" w:space="0" w:color="auto"/>
              </w:divBdr>
              <w:divsChild>
                <w:div w:id="287703208">
                  <w:marLeft w:val="-225"/>
                  <w:marRight w:val="-225"/>
                  <w:marTop w:val="0"/>
                  <w:marBottom w:val="0"/>
                  <w:divBdr>
                    <w:top w:val="none" w:sz="0" w:space="0" w:color="auto"/>
                    <w:left w:val="none" w:sz="0" w:space="0" w:color="auto"/>
                    <w:bottom w:val="none" w:sz="0" w:space="0" w:color="auto"/>
                    <w:right w:val="none" w:sz="0" w:space="0" w:color="auto"/>
                  </w:divBdr>
                  <w:divsChild>
                    <w:div w:id="993214742">
                      <w:marLeft w:val="0"/>
                      <w:marRight w:val="0"/>
                      <w:marTop w:val="0"/>
                      <w:marBottom w:val="0"/>
                      <w:divBdr>
                        <w:top w:val="none" w:sz="0" w:space="0" w:color="auto"/>
                        <w:left w:val="none" w:sz="0" w:space="0" w:color="auto"/>
                        <w:bottom w:val="none" w:sz="0" w:space="0" w:color="auto"/>
                        <w:right w:val="none" w:sz="0" w:space="0" w:color="auto"/>
                      </w:divBdr>
                      <w:divsChild>
                        <w:div w:id="1701314825">
                          <w:marLeft w:val="-225"/>
                          <w:marRight w:val="-225"/>
                          <w:marTop w:val="0"/>
                          <w:marBottom w:val="0"/>
                          <w:divBdr>
                            <w:top w:val="none" w:sz="0" w:space="0" w:color="auto"/>
                            <w:left w:val="none" w:sz="0" w:space="0" w:color="auto"/>
                            <w:bottom w:val="none" w:sz="0" w:space="0" w:color="auto"/>
                            <w:right w:val="none" w:sz="0" w:space="0" w:color="auto"/>
                          </w:divBdr>
                          <w:divsChild>
                            <w:div w:id="1955480580">
                              <w:marLeft w:val="0"/>
                              <w:marRight w:val="0"/>
                              <w:marTop w:val="0"/>
                              <w:marBottom w:val="0"/>
                              <w:divBdr>
                                <w:top w:val="none" w:sz="0" w:space="0" w:color="auto"/>
                                <w:left w:val="none" w:sz="0" w:space="0" w:color="auto"/>
                                <w:bottom w:val="none" w:sz="0" w:space="0" w:color="auto"/>
                                <w:right w:val="none" w:sz="0" w:space="0" w:color="auto"/>
                              </w:divBdr>
                              <w:divsChild>
                                <w:div w:id="1849174993">
                                  <w:marLeft w:val="0"/>
                                  <w:marRight w:val="0"/>
                                  <w:marTop w:val="0"/>
                                  <w:marBottom w:val="0"/>
                                  <w:divBdr>
                                    <w:top w:val="none" w:sz="0" w:space="0" w:color="auto"/>
                                    <w:left w:val="none" w:sz="0" w:space="0" w:color="auto"/>
                                    <w:bottom w:val="none" w:sz="0" w:space="0" w:color="auto"/>
                                    <w:right w:val="none" w:sz="0" w:space="0" w:color="auto"/>
                                  </w:divBdr>
                                  <w:divsChild>
                                    <w:div w:id="1365865980">
                                      <w:marLeft w:val="-225"/>
                                      <w:marRight w:val="-225"/>
                                      <w:marTop w:val="0"/>
                                      <w:marBottom w:val="0"/>
                                      <w:divBdr>
                                        <w:top w:val="none" w:sz="0" w:space="0" w:color="auto"/>
                                        <w:left w:val="none" w:sz="0" w:space="0" w:color="auto"/>
                                        <w:bottom w:val="none" w:sz="0" w:space="0" w:color="auto"/>
                                        <w:right w:val="none" w:sz="0" w:space="0" w:color="auto"/>
                                      </w:divBdr>
                                      <w:divsChild>
                                        <w:div w:id="1088501285">
                                          <w:marLeft w:val="0"/>
                                          <w:marRight w:val="0"/>
                                          <w:marTop w:val="0"/>
                                          <w:marBottom w:val="0"/>
                                          <w:divBdr>
                                            <w:top w:val="none" w:sz="0" w:space="0" w:color="auto"/>
                                            <w:left w:val="none" w:sz="0" w:space="0" w:color="auto"/>
                                            <w:bottom w:val="none" w:sz="0" w:space="0" w:color="auto"/>
                                            <w:right w:val="none" w:sz="0" w:space="0" w:color="auto"/>
                                          </w:divBdr>
                                          <w:divsChild>
                                            <w:div w:id="159686218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352215">
      <w:bodyDiv w:val="1"/>
      <w:marLeft w:val="0"/>
      <w:marRight w:val="0"/>
      <w:marTop w:val="0"/>
      <w:marBottom w:val="0"/>
      <w:divBdr>
        <w:top w:val="none" w:sz="0" w:space="0" w:color="auto"/>
        <w:left w:val="none" w:sz="0" w:space="0" w:color="auto"/>
        <w:bottom w:val="none" w:sz="0" w:space="0" w:color="auto"/>
        <w:right w:val="none" w:sz="0" w:space="0" w:color="auto"/>
      </w:divBdr>
      <w:divsChild>
        <w:div w:id="554509540">
          <w:marLeft w:val="0"/>
          <w:marRight w:val="0"/>
          <w:marTop w:val="0"/>
          <w:marBottom w:val="0"/>
          <w:divBdr>
            <w:top w:val="none" w:sz="0" w:space="0" w:color="auto"/>
            <w:left w:val="none" w:sz="0" w:space="0" w:color="auto"/>
            <w:bottom w:val="none" w:sz="0" w:space="0" w:color="auto"/>
            <w:right w:val="none" w:sz="0" w:space="0" w:color="auto"/>
          </w:divBdr>
          <w:divsChild>
            <w:div w:id="99422063">
              <w:marLeft w:val="0"/>
              <w:marRight w:val="0"/>
              <w:marTop w:val="0"/>
              <w:marBottom w:val="0"/>
              <w:divBdr>
                <w:top w:val="none" w:sz="0" w:space="0" w:color="auto"/>
                <w:left w:val="none" w:sz="0" w:space="0" w:color="auto"/>
                <w:bottom w:val="none" w:sz="0" w:space="0" w:color="auto"/>
                <w:right w:val="none" w:sz="0" w:space="0" w:color="auto"/>
              </w:divBdr>
              <w:divsChild>
                <w:div w:id="1318266943">
                  <w:marLeft w:val="-225"/>
                  <w:marRight w:val="-225"/>
                  <w:marTop w:val="0"/>
                  <w:marBottom w:val="0"/>
                  <w:divBdr>
                    <w:top w:val="none" w:sz="0" w:space="0" w:color="auto"/>
                    <w:left w:val="none" w:sz="0" w:space="0" w:color="auto"/>
                    <w:bottom w:val="none" w:sz="0" w:space="0" w:color="auto"/>
                    <w:right w:val="none" w:sz="0" w:space="0" w:color="auto"/>
                  </w:divBdr>
                  <w:divsChild>
                    <w:div w:id="1890532355">
                      <w:marLeft w:val="0"/>
                      <w:marRight w:val="0"/>
                      <w:marTop w:val="0"/>
                      <w:marBottom w:val="0"/>
                      <w:divBdr>
                        <w:top w:val="none" w:sz="0" w:space="0" w:color="auto"/>
                        <w:left w:val="none" w:sz="0" w:space="0" w:color="auto"/>
                        <w:bottom w:val="none" w:sz="0" w:space="0" w:color="auto"/>
                        <w:right w:val="none" w:sz="0" w:space="0" w:color="auto"/>
                      </w:divBdr>
                      <w:divsChild>
                        <w:div w:id="144860810">
                          <w:marLeft w:val="-225"/>
                          <w:marRight w:val="-225"/>
                          <w:marTop w:val="0"/>
                          <w:marBottom w:val="0"/>
                          <w:divBdr>
                            <w:top w:val="none" w:sz="0" w:space="0" w:color="auto"/>
                            <w:left w:val="none" w:sz="0" w:space="0" w:color="auto"/>
                            <w:bottom w:val="none" w:sz="0" w:space="0" w:color="auto"/>
                            <w:right w:val="none" w:sz="0" w:space="0" w:color="auto"/>
                          </w:divBdr>
                          <w:divsChild>
                            <w:div w:id="1599677519">
                              <w:marLeft w:val="0"/>
                              <w:marRight w:val="0"/>
                              <w:marTop w:val="0"/>
                              <w:marBottom w:val="0"/>
                              <w:divBdr>
                                <w:top w:val="none" w:sz="0" w:space="0" w:color="auto"/>
                                <w:left w:val="none" w:sz="0" w:space="0" w:color="auto"/>
                                <w:bottom w:val="none" w:sz="0" w:space="0" w:color="auto"/>
                                <w:right w:val="none" w:sz="0" w:space="0" w:color="auto"/>
                              </w:divBdr>
                              <w:divsChild>
                                <w:div w:id="668561755">
                                  <w:marLeft w:val="0"/>
                                  <w:marRight w:val="0"/>
                                  <w:marTop w:val="0"/>
                                  <w:marBottom w:val="0"/>
                                  <w:divBdr>
                                    <w:top w:val="none" w:sz="0" w:space="0" w:color="auto"/>
                                    <w:left w:val="none" w:sz="0" w:space="0" w:color="auto"/>
                                    <w:bottom w:val="none" w:sz="0" w:space="0" w:color="auto"/>
                                    <w:right w:val="none" w:sz="0" w:space="0" w:color="auto"/>
                                  </w:divBdr>
                                  <w:divsChild>
                                    <w:div w:id="1296180991">
                                      <w:marLeft w:val="-225"/>
                                      <w:marRight w:val="-225"/>
                                      <w:marTop w:val="0"/>
                                      <w:marBottom w:val="0"/>
                                      <w:divBdr>
                                        <w:top w:val="none" w:sz="0" w:space="0" w:color="auto"/>
                                        <w:left w:val="none" w:sz="0" w:space="0" w:color="auto"/>
                                        <w:bottom w:val="none" w:sz="0" w:space="0" w:color="auto"/>
                                        <w:right w:val="none" w:sz="0" w:space="0" w:color="auto"/>
                                      </w:divBdr>
                                      <w:divsChild>
                                        <w:div w:id="835388582">
                                          <w:marLeft w:val="0"/>
                                          <w:marRight w:val="0"/>
                                          <w:marTop w:val="0"/>
                                          <w:marBottom w:val="0"/>
                                          <w:divBdr>
                                            <w:top w:val="none" w:sz="0" w:space="0" w:color="auto"/>
                                            <w:left w:val="none" w:sz="0" w:space="0" w:color="auto"/>
                                            <w:bottom w:val="none" w:sz="0" w:space="0" w:color="auto"/>
                                            <w:right w:val="none" w:sz="0" w:space="0" w:color="auto"/>
                                          </w:divBdr>
                                          <w:divsChild>
                                            <w:div w:id="7836205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433810">
      <w:bodyDiv w:val="1"/>
      <w:marLeft w:val="0"/>
      <w:marRight w:val="0"/>
      <w:marTop w:val="0"/>
      <w:marBottom w:val="0"/>
      <w:divBdr>
        <w:top w:val="none" w:sz="0" w:space="0" w:color="auto"/>
        <w:left w:val="none" w:sz="0" w:space="0" w:color="auto"/>
        <w:bottom w:val="none" w:sz="0" w:space="0" w:color="auto"/>
        <w:right w:val="none" w:sz="0" w:space="0" w:color="auto"/>
      </w:divBdr>
      <w:divsChild>
        <w:div w:id="2075732166">
          <w:marLeft w:val="0"/>
          <w:marRight w:val="0"/>
          <w:marTop w:val="0"/>
          <w:marBottom w:val="0"/>
          <w:divBdr>
            <w:top w:val="none" w:sz="0" w:space="0" w:color="auto"/>
            <w:left w:val="none" w:sz="0" w:space="0" w:color="auto"/>
            <w:bottom w:val="none" w:sz="0" w:space="0" w:color="auto"/>
            <w:right w:val="none" w:sz="0" w:space="0" w:color="auto"/>
          </w:divBdr>
          <w:divsChild>
            <w:div w:id="913054131">
              <w:marLeft w:val="0"/>
              <w:marRight w:val="0"/>
              <w:marTop w:val="0"/>
              <w:marBottom w:val="0"/>
              <w:divBdr>
                <w:top w:val="none" w:sz="0" w:space="0" w:color="auto"/>
                <w:left w:val="none" w:sz="0" w:space="0" w:color="auto"/>
                <w:bottom w:val="none" w:sz="0" w:space="0" w:color="auto"/>
                <w:right w:val="none" w:sz="0" w:space="0" w:color="auto"/>
              </w:divBdr>
              <w:divsChild>
                <w:div w:id="618222409">
                  <w:marLeft w:val="-225"/>
                  <w:marRight w:val="-225"/>
                  <w:marTop w:val="0"/>
                  <w:marBottom w:val="0"/>
                  <w:divBdr>
                    <w:top w:val="none" w:sz="0" w:space="0" w:color="auto"/>
                    <w:left w:val="none" w:sz="0" w:space="0" w:color="auto"/>
                    <w:bottom w:val="none" w:sz="0" w:space="0" w:color="auto"/>
                    <w:right w:val="none" w:sz="0" w:space="0" w:color="auto"/>
                  </w:divBdr>
                  <w:divsChild>
                    <w:div w:id="1951274610">
                      <w:marLeft w:val="0"/>
                      <w:marRight w:val="0"/>
                      <w:marTop w:val="0"/>
                      <w:marBottom w:val="0"/>
                      <w:divBdr>
                        <w:top w:val="none" w:sz="0" w:space="0" w:color="auto"/>
                        <w:left w:val="none" w:sz="0" w:space="0" w:color="auto"/>
                        <w:bottom w:val="none" w:sz="0" w:space="0" w:color="auto"/>
                        <w:right w:val="none" w:sz="0" w:space="0" w:color="auto"/>
                      </w:divBdr>
                      <w:divsChild>
                        <w:div w:id="1373531327">
                          <w:marLeft w:val="-225"/>
                          <w:marRight w:val="-225"/>
                          <w:marTop w:val="0"/>
                          <w:marBottom w:val="0"/>
                          <w:divBdr>
                            <w:top w:val="none" w:sz="0" w:space="0" w:color="auto"/>
                            <w:left w:val="none" w:sz="0" w:space="0" w:color="auto"/>
                            <w:bottom w:val="none" w:sz="0" w:space="0" w:color="auto"/>
                            <w:right w:val="none" w:sz="0" w:space="0" w:color="auto"/>
                          </w:divBdr>
                          <w:divsChild>
                            <w:div w:id="349912764">
                              <w:marLeft w:val="0"/>
                              <w:marRight w:val="0"/>
                              <w:marTop w:val="0"/>
                              <w:marBottom w:val="0"/>
                              <w:divBdr>
                                <w:top w:val="none" w:sz="0" w:space="0" w:color="auto"/>
                                <w:left w:val="none" w:sz="0" w:space="0" w:color="auto"/>
                                <w:bottom w:val="none" w:sz="0" w:space="0" w:color="auto"/>
                                <w:right w:val="none" w:sz="0" w:space="0" w:color="auto"/>
                              </w:divBdr>
                              <w:divsChild>
                                <w:div w:id="512841191">
                                  <w:marLeft w:val="0"/>
                                  <w:marRight w:val="0"/>
                                  <w:marTop w:val="0"/>
                                  <w:marBottom w:val="0"/>
                                  <w:divBdr>
                                    <w:top w:val="none" w:sz="0" w:space="0" w:color="auto"/>
                                    <w:left w:val="none" w:sz="0" w:space="0" w:color="auto"/>
                                    <w:bottom w:val="none" w:sz="0" w:space="0" w:color="auto"/>
                                    <w:right w:val="none" w:sz="0" w:space="0" w:color="auto"/>
                                  </w:divBdr>
                                  <w:divsChild>
                                    <w:div w:id="2141651065">
                                      <w:marLeft w:val="-225"/>
                                      <w:marRight w:val="-225"/>
                                      <w:marTop w:val="0"/>
                                      <w:marBottom w:val="0"/>
                                      <w:divBdr>
                                        <w:top w:val="none" w:sz="0" w:space="0" w:color="auto"/>
                                        <w:left w:val="none" w:sz="0" w:space="0" w:color="auto"/>
                                        <w:bottom w:val="none" w:sz="0" w:space="0" w:color="auto"/>
                                        <w:right w:val="none" w:sz="0" w:space="0" w:color="auto"/>
                                      </w:divBdr>
                                      <w:divsChild>
                                        <w:div w:id="1739202956">
                                          <w:marLeft w:val="0"/>
                                          <w:marRight w:val="0"/>
                                          <w:marTop w:val="0"/>
                                          <w:marBottom w:val="0"/>
                                          <w:divBdr>
                                            <w:top w:val="none" w:sz="0" w:space="0" w:color="auto"/>
                                            <w:left w:val="none" w:sz="0" w:space="0" w:color="auto"/>
                                            <w:bottom w:val="none" w:sz="0" w:space="0" w:color="auto"/>
                                            <w:right w:val="none" w:sz="0" w:space="0" w:color="auto"/>
                                          </w:divBdr>
                                          <w:divsChild>
                                            <w:div w:id="196696139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746715">
      <w:bodyDiv w:val="1"/>
      <w:marLeft w:val="0"/>
      <w:marRight w:val="0"/>
      <w:marTop w:val="0"/>
      <w:marBottom w:val="0"/>
      <w:divBdr>
        <w:top w:val="none" w:sz="0" w:space="0" w:color="auto"/>
        <w:left w:val="none" w:sz="0" w:space="0" w:color="auto"/>
        <w:bottom w:val="none" w:sz="0" w:space="0" w:color="auto"/>
        <w:right w:val="none" w:sz="0" w:space="0" w:color="auto"/>
      </w:divBdr>
      <w:divsChild>
        <w:div w:id="1782919614">
          <w:marLeft w:val="0"/>
          <w:marRight w:val="0"/>
          <w:marTop w:val="0"/>
          <w:marBottom w:val="0"/>
          <w:divBdr>
            <w:top w:val="none" w:sz="0" w:space="0" w:color="auto"/>
            <w:left w:val="none" w:sz="0" w:space="0" w:color="auto"/>
            <w:bottom w:val="none" w:sz="0" w:space="0" w:color="auto"/>
            <w:right w:val="none" w:sz="0" w:space="0" w:color="auto"/>
          </w:divBdr>
          <w:divsChild>
            <w:div w:id="1264067963">
              <w:marLeft w:val="0"/>
              <w:marRight w:val="0"/>
              <w:marTop w:val="0"/>
              <w:marBottom w:val="0"/>
              <w:divBdr>
                <w:top w:val="none" w:sz="0" w:space="0" w:color="auto"/>
                <w:left w:val="none" w:sz="0" w:space="0" w:color="auto"/>
                <w:bottom w:val="none" w:sz="0" w:space="0" w:color="auto"/>
                <w:right w:val="none" w:sz="0" w:space="0" w:color="auto"/>
              </w:divBdr>
              <w:divsChild>
                <w:div w:id="42292222">
                  <w:marLeft w:val="-225"/>
                  <w:marRight w:val="-225"/>
                  <w:marTop w:val="0"/>
                  <w:marBottom w:val="0"/>
                  <w:divBdr>
                    <w:top w:val="none" w:sz="0" w:space="0" w:color="auto"/>
                    <w:left w:val="none" w:sz="0" w:space="0" w:color="auto"/>
                    <w:bottom w:val="none" w:sz="0" w:space="0" w:color="auto"/>
                    <w:right w:val="none" w:sz="0" w:space="0" w:color="auto"/>
                  </w:divBdr>
                  <w:divsChild>
                    <w:div w:id="1959482808">
                      <w:marLeft w:val="0"/>
                      <w:marRight w:val="0"/>
                      <w:marTop w:val="0"/>
                      <w:marBottom w:val="0"/>
                      <w:divBdr>
                        <w:top w:val="none" w:sz="0" w:space="0" w:color="auto"/>
                        <w:left w:val="none" w:sz="0" w:space="0" w:color="auto"/>
                        <w:bottom w:val="none" w:sz="0" w:space="0" w:color="auto"/>
                        <w:right w:val="none" w:sz="0" w:space="0" w:color="auto"/>
                      </w:divBdr>
                      <w:divsChild>
                        <w:div w:id="1225145741">
                          <w:marLeft w:val="-225"/>
                          <w:marRight w:val="-225"/>
                          <w:marTop w:val="0"/>
                          <w:marBottom w:val="0"/>
                          <w:divBdr>
                            <w:top w:val="none" w:sz="0" w:space="0" w:color="auto"/>
                            <w:left w:val="none" w:sz="0" w:space="0" w:color="auto"/>
                            <w:bottom w:val="none" w:sz="0" w:space="0" w:color="auto"/>
                            <w:right w:val="none" w:sz="0" w:space="0" w:color="auto"/>
                          </w:divBdr>
                          <w:divsChild>
                            <w:div w:id="1559513662">
                              <w:marLeft w:val="0"/>
                              <w:marRight w:val="0"/>
                              <w:marTop w:val="0"/>
                              <w:marBottom w:val="0"/>
                              <w:divBdr>
                                <w:top w:val="none" w:sz="0" w:space="0" w:color="auto"/>
                                <w:left w:val="none" w:sz="0" w:space="0" w:color="auto"/>
                                <w:bottom w:val="none" w:sz="0" w:space="0" w:color="auto"/>
                                <w:right w:val="none" w:sz="0" w:space="0" w:color="auto"/>
                              </w:divBdr>
                              <w:divsChild>
                                <w:div w:id="1574705239">
                                  <w:marLeft w:val="0"/>
                                  <w:marRight w:val="0"/>
                                  <w:marTop w:val="0"/>
                                  <w:marBottom w:val="0"/>
                                  <w:divBdr>
                                    <w:top w:val="none" w:sz="0" w:space="0" w:color="auto"/>
                                    <w:left w:val="none" w:sz="0" w:space="0" w:color="auto"/>
                                    <w:bottom w:val="none" w:sz="0" w:space="0" w:color="auto"/>
                                    <w:right w:val="none" w:sz="0" w:space="0" w:color="auto"/>
                                  </w:divBdr>
                                  <w:divsChild>
                                    <w:div w:id="127020194">
                                      <w:marLeft w:val="-225"/>
                                      <w:marRight w:val="-225"/>
                                      <w:marTop w:val="0"/>
                                      <w:marBottom w:val="0"/>
                                      <w:divBdr>
                                        <w:top w:val="none" w:sz="0" w:space="0" w:color="auto"/>
                                        <w:left w:val="none" w:sz="0" w:space="0" w:color="auto"/>
                                        <w:bottom w:val="none" w:sz="0" w:space="0" w:color="auto"/>
                                        <w:right w:val="none" w:sz="0" w:space="0" w:color="auto"/>
                                      </w:divBdr>
                                      <w:divsChild>
                                        <w:div w:id="1768883334">
                                          <w:marLeft w:val="0"/>
                                          <w:marRight w:val="0"/>
                                          <w:marTop w:val="0"/>
                                          <w:marBottom w:val="0"/>
                                          <w:divBdr>
                                            <w:top w:val="none" w:sz="0" w:space="0" w:color="auto"/>
                                            <w:left w:val="none" w:sz="0" w:space="0" w:color="auto"/>
                                            <w:bottom w:val="none" w:sz="0" w:space="0" w:color="auto"/>
                                            <w:right w:val="none" w:sz="0" w:space="0" w:color="auto"/>
                                          </w:divBdr>
                                          <w:divsChild>
                                            <w:div w:id="2410676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40382">
      <w:bodyDiv w:val="1"/>
      <w:marLeft w:val="0"/>
      <w:marRight w:val="0"/>
      <w:marTop w:val="0"/>
      <w:marBottom w:val="0"/>
      <w:divBdr>
        <w:top w:val="none" w:sz="0" w:space="0" w:color="auto"/>
        <w:left w:val="none" w:sz="0" w:space="0" w:color="auto"/>
        <w:bottom w:val="none" w:sz="0" w:space="0" w:color="auto"/>
        <w:right w:val="none" w:sz="0" w:space="0" w:color="auto"/>
      </w:divBdr>
      <w:divsChild>
        <w:div w:id="9726852">
          <w:marLeft w:val="0"/>
          <w:marRight w:val="0"/>
          <w:marTop w:val="0"/>
          <w:marBottom w:val="0"/>
          <w:divBdr>
            <w:top w:val="none" w:sz="0" w:space="0" w:color="auto"/>
            <w:left w:val="none" w:sz="0" w:space="0" w:color="auto"/>
            <w:bottom w:val="none" w:sz="0" w:space="0" w:color="auto"/>
            <w:right w:val="none" w:sz="0" w:space="0" w:color="auto"/>
          </w:divBdr>
          <w:divsChild>
            <w:div w:id="684136593">
              <w:marLeft w:val="0"/>
              <w:marRight w:val="0"/>
              <w:marTop w:val="0"/>
              <w:marBottom w:val="0"/>
              <w:divBdr>
                <w:top w:val="none" w:sz="0" w:space="0" w:color="auto"/>
                <w:left w:val="none" w:sz="0" w:space="0" w:color="auto"/>
                <w:bottom w:val="none" w:sz="0" w:space="0" w:color="auto"/>
                <w:right w:val="none" w:sz="0" w:space="0" w:color="auto"/>
              </w:divBdr>
              <w:divsChild>
                <w:div w:id="1576891137">
                  <w:marLeft w:val="-225"/>
                  <w:marRight w:val="-225"/>
                  <w:marTop w:val="0"/>
                  <w:marBottom w:val="0"/>
                  <w:divBdr>
                    <w:top w:val="none" w:sz="0" w:space="0" w:color="auto"/>
                    <w:left w:val="none" w:sz="0" w:space="0" w:color="auto"/>
                    <w:bottom w:val="none" w:sz="0" w:space="0" w:color="auto"/>
                    <w:right w:val="none" w:sz="0" w:space="0" w:color="auto"/>
                  </w:divBdr>
                  <w:divsChild>
                    <w:div w:id="1317804967">
                      <w:marLeft w:val="0"/>
                      <w:marRight w:val="0"/>
                      <w:marTop w:val="0"/>
                      <w:marBottom w:val="0"/>
                      <w:divBdr>
                        <w:top w:val="none" w:sz="0" w:space="0" w:color="auto"/>
                        <w:left w:val="none" w:sz="0" w:space="0" w:color="auto"/>
                        <w:bottom w:val="none" w:sz="0" w:space="0" w:color="auto"/>
                        <w:right w:val="none" w:sz="0" w:space="0" w:color="auto"/>
                      </w:divBdr>
                      <w:divsChild>
                        <w:div w:id="2108427447">
                          <w:marLeft w:val="-225"/>
                          <w:marRight w:val="-225"/>
                          <w:marTop w:val="0"/>
                          <w:marBottom w:val="0"/>
                          <w:divBdr>
                            <w:top w:val="none" w:sz="0" w:space="0" w:color="auto"/>
                            <w:left w:val="none" w:sz="0" w:space="0" w:color="auto"/>
                            <w:bottom w:val="none" w:sz="0" w:space="0" w:color="auto"/>
                            <w:right w:val="none" w:sz="0" w:space="0" w:color="auto"/>
                          </w:divBdr>
                          <w:divsChild>
                            <w:div w:id="899024633">
                              <w:marLeft w:val="0"/>
                              <w:marRight w:val="0"/>
                              <w:marTop w:val="0"/>
                              <w:marBottom w:val="0"/>
                              <w:divBdr>
                                <w:top w:val="none" w:sz="0" w:space="0" w:color="auto"/>
                                <w:left w:val="none" w:sz="0" w:space="0" w:color="auto"/>
                                <w:bottom w:val="none" w:sz="0" w:space="0" w:color="auto"/>
                                <w:right w:val="none" w:sz="0" w:space="0" w:color="auto"/>
                              </w:divBdr>
                              <w:divsChild>
                                <w:div w:id="698824592">
                                  <w:marLeft w:val="0"/>
                                  <w:marRight w:val="0"/>
                                  <w:marTop w:val="0"/>
                                  <w:marBottom w:val="0"/>
                                  <w:divBdr>
                                    <w:top w:val="none" w:sz="0" w:space="0" w:color="auto"/>
                                    <w:left w:val="none" w:sz="0" w:space="0" w:color="auto"/>
                                    <w:bottom w:val="none" w:sz="0" w:space="0" w:color="auto"/>
                                    <w:right w:val="none" w:sz="0" w:space="0" w:color="auto"/>
                                  </w:divBdr>
                                  <w:divsChild>
                                    <w:div w:id="771820099">
                                      <w:marLeft w:val="-225"/>
                                      <w:marRight w:val="-225"/>
                                      <w:marTop w:val="0"/>
                                      <w:marBottom w:val="0"/>
                                      <w:divBdr>
                                        <w:top w:val="none" w:sz="0" w:space="0" w:color="auto"/>
                                        <w:left w:val="none" w:sz="0" w:space="0" w:color="auto"/>
                                        <w:bottom w:val="none" w:sz="0" w:space="0" w:color="auto"/>
                                        <w:right w:val="none" w:sz="0" w:space="0" w:color="auto"/>
                                      </w:divBdr>
                                      <w:divsChild>
                                        <w:div w:id="1151680107">
                                          <w:marLeft w:val="0"/>
                                          <w:marRight w:val="0"/>
                                          <w:marTop w:val="0"/>
                                          <w:marBottom w:val="0"/>
                                          <w:divBdr>
                                            <w:top w:val="none" w:sz="0" w:space="0" w:color="auto"/>
                                            <w:left w:val="none" w:sz="0" w:space="0" w:color="auto"/>
                                            <w:bottom w:val="none" w:sz="0" w:space="0" w:color="auto"/>
                                            <w:right w:val="none" w:sz="0" w:space="0" w:color="auto"/>
                                          </w:divBdr>
                                          <w:divsChild>
                                            <w:div w:id="49233830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802278">
      <w:bodyDiv w:val="1"/>
      <w:marLeft w:val="0"/>
      <w:marRight w:val="0"/>
      <w:marTop w:val="0"/>
      <w:marBottom w:val="0"/>
      <w:divBdr>
        <w:top w:val="none" w:sz="0" w:space="0" w:color="auto"/>
        <w:left w:val="none" w:sz="0" w:space="0" w:color="auto"/>
        <w:bottom w:val="none" w:sz="0" w:space="0" w:color="auto"/>
        <w:right w:val="none" w:sz="0" w:space="0" w:color="auto"/>
      </w:divBdr>
      <w:divsChild>
        <w:div w:id="1089929795">
          <w:marLeft w:val="0"/>
          <w:marRight w:val="0"/>
          <w:marTop w:val="0"/>
          <w:marBottom w:val="0"/>
          <w:divBdr>
            <w:top w:val="none" w:sz="0" w:space="0" w:color="auto"/>
            <w:left w:val="none" w:sz="0" w:space="0" w:color="auto"/>
            <w:bottom w:val="none" w:sz="0" w:space="0" w:color="auto"/>
            <w:right w:val="none" w:sz="0" w:space="0" w:color="auto"/>
          </w:divBdr>
          <w:divsChild>
            <w:div w:id="379213925">
              <w:marLeft w:val="0"/>
              <w:marRight w:val="0"/>
              <w:marTop w:val="0"/>
              <w:marBottom w:val="0"/>
              <w:divBdr>
                <w:top w:val="none" w:sz="0" w:space="0" w:color="auto"/>
                <w:left w:val="none" w:sz="0" w:space="0" w:color="auto"/>
                <w:bottom w:val="none" w:sz="0" w:space="0" w:color="auto"/>
                <w:right w:val="none" w:sz="0" w:space="0" w:color="auto"/>
              </w:divBdr>
              <w:divsChild>
                <w:div w:id="1594823311">
                  <w:marLeft w:val="-225"/>
                  <w:marRight w:val="-225"/>
                  <w:marTop w:val="0"/>
                  <w:marBottom w:val="0"/>
                  <w:divBdr>
                    <w:top w:val="none" w:sz="0" w:space="0" w:color="auto"/>
                    <w:left w:val="none" w:sz="0" w:space="0" w:color="auto"/>
                    <w:bottom w:val="none" w:sz="0" w:space="0" w:color="auto"/>
                    <w:right w:val="none" w:sz="0" w:space="0" w:color="auto"/>
                  </w:divBdr>
                  <w:divsChild>
                    <w:div w:id="2042314088">
                      <w:marLeft w:val="0"/>
                      <w:marRight w:val="0"/>
                      <w:marTop w:val="0"/>
                      <w:marBottom w:val="0"/>
                      <w:divBdr>
                        <w:top w:val="none" w:sz="0" w:space="0" w:color="auto"/>
                        <w:left w:val="none" w:sz="0" w:space="0" w:color="auto"/>
                        <w:bottom w:val="none" w:sz="0" w:space="0" w:color="auto"/>
                        <w:right w:val="none" w:sz="0" w:space="0" w:color="auto"/>
                      </w:divBdr>
                      <w:divsChild>
                        <w:div w:id="13456787">
                          <w:marLeft w:val="-225"/>
                          <w:marRight w:val="-225"/>
                          <w:marTop w:val="0"/>
                          <w:marBottom w:val="0"/>
                          <w:divBdr>
                            <w:top w:val="none" w:sz="0" w:space="0" w:color="auto"/>
                            <w:left w:val="none" w:sz="0" w:space="0" w:color="auto"/>
                            <w:bottom w:val="none" w:sz="0" w:space="0" w:color="auto"/>
                            <w:right w:val="none" w:sz="0" w:space="0" w:color="auto"/>
                          </w:divBdr>
                          <w:divsChild>
                            <w:div w:id="1269436263">
                              <w:marLeft w:val="0"/>
                              <w:marRight w:val="0"/>
                              <w:marTop w:val="0"/>
                              <w:marBottom w:val="0"/>
                              <w:divBdr>
                                <w:top w:val="none" w:sz="0" w:space="0" w:color="auto"/>
                                <w:left w:val="none" w:sz="0" w:space="0" w:color="auto"/>
                                <w:bottom w:val="none" w:sz="0" w:space="0" w:color="auto"/>
                                <w:right w:val="none" w:sz="0" w:space="0" w:color="auto"/>
                              </w:divBdr>
                              <w:divsChild>
                                <w:div w:id="1216432996">
                                  <w:marLeft w:val="0"/>
                                  <w:marRight w:val="0"/>
                                  <w:marTop w:val="0"/>
                                  <w:marBottom w:val="0"/>
                                  <w:divBdr>
                                    <w:top w:val="none" w:sz="0" w:space="0" w:color="auto"/>
                                    <w:left w:val="none" w:sz="0" w:space="0" w:color="auto"/>
                                    <w:bottom w:val="none" w:sz="0" w:space="0" w:color="auto"/>
                                    <w:right w:val="none" w:sz="0" w:space="0" w:color="auto"/>
                                  </w:divBdr>
                                  <w:divsChild>
                                    <w:div w:id="1985545135">
                                      <w:marLeft w:val="-225"/>
                                      <w:marRight w:val="-225"/>
                                      <w:marTop w:val="0"/>
                                      <w:marBottom w:val="0"/>
                                      <w:divBdr>
                                        <w:top w:val="none" w:sz="0" w:space="0" w:color="auto"/>
                                        <w:left w:val="none" w:sz="0" w:space="0" w:color="auto"/>
                                        <w:bottom w:val="none" w:sz="0" w:space="0" w:color="auto"/>
                                        <w:right w:val="none" w:sz="0" w:space="0" w:color="auto"/>
                                      </w:divBdr>
                                      <w:divsChild>
                                        <w:div w:id="100535717">
                                          <w:marLeft w:val="0"/>
                                          <w:marRight w:val="0"/>
                                          <w:marTop w:val="0"/>
                                          <w:marBottom w:val="0"/>
                                          <w:divBdr>
                                            <w:top w:val="none" w:sz="0" w:space="0" w:color="auto"/>
                                            <w:left w:val="none" w:sz="0" w:space="0" w:color="auto"/>
                                            <w:bottom w:val="none" w:sz="0" w:space="0" w:color="auto"/>
                                            <w:right w:val="none" w:sz="0" w:space="0" w:color="auto"/>
                                          </w:divBdr>
                                          <w:divsChild>
                                            <w:div w:id="108587699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838651">
      <w:bodyDiv w:val="1"/>
      <w:marLeft w:val="0"/>
      <w:marRight w:val="0"/>
      <w:marTop w:val="0"/>
      <w:marBottom w:val="0"/>
      <w:divBdr>
        <w:top w:val="none" w:sz="0" w:space="0" w:color="auto"/>
        <w:left w:val="none" w:sz="0" w:space="0" w:color="auto"/>
        <w:bottom w:val="none" w:sz="0" w:space="0" w:color="auto"/>
        <w:right w:val="none" w:sz="0" w:space="0" w:color="auto"/>
      </w:divBdr>
      <w:divsChild>
        <w:div w:id="1092777535">
          <w:marLeft w:val="0"/>
          <w:marRight w:val="0"/>
          <w:marTop w:val="0"/>
          <w:marBottom w:val="0"/>
          <w:divBdr>
            <w:top w:val="none" w:sz="0" w:space="0" w:color="auto"/>
            <w:left w:val="none" w:sz="0" w:space="0" w:color="auto"/>
            <w:bottom w:val="none" w:sz="0" w:space="0" w:color="auto"/>
            <w:right w:val="none" w:sz="0" w:space="0" w:color="auto"/>
          </w:divBdr>
          <w:divsChild>
            <w:div w:id="96877540">
              <w:marLeft w:val="0"/>
              <w:marRight w:val="0"/>
              <w:marTop w:val="0"/>
              <w:marBottom w:val="0"/>
              <w:divBdr>
                <w:top w:val="none" w:sz="0" w:space="0" w:color="auto"/>
                <w:left w:val="none" w:sz="0" w:space="0" w:color="auto"/>
                <w:bottom w:val="none" w:sz="0" w:space="0" w:color="auto"/>
                <w:right w:val="none" w:sz="0" w:space="0" w:color="auto"/>
              </w:divBdr>
              <w:divsChild>
                <w:div w:id="775715231">
                  <w:marLeft w:val="-225"/>
                  <w:marRight w:val="-225"/>
                  <w:marTop w:val="0"/>
                  <w:marBottom w:val="0"/>
                  <w:divBdr>
                    <w:top w:val="none" w:sz="0" w:space="0" w:color="auto"/>
                    <w:left w:val="none" w:sz="0" w:space="0" w:color="auto"/>
                    <w:bottom w:val="none" w:sz="0" w:space="0" w:color="auto"/>
                    <w:right w:val="none" w:sz="0" w:space="0" w:color="auto"/>
                  </w:divBdr>
                  <w:divsChild>
                    <w:div w:id="1744910665">
                      <w:marLeft w:val="0"/>
                      <w:marRight w:val="0"/>
                      <w:marTop w:val="0"/>
                      <w:marBottom w:val="0"/>
                      <w:divBdr>
                        <w:top w:val="none" w:sz="0" w:space="0" w:color="auto"/>
                        <w:left w:val="none" w:sz="0" w:space="0" w:color="auto"/>
                        <w:bottom w:val="none" w:sz="0" w:space="0" w:color="auto"/>
                        <w:right w:val="none" w:sz="0" w:space="0" w:color="auto"/>
                      </w:divBdr>
                      <w:divsChild>
                        <w:div w:id="1071850808">
                          <w:marLeft w:val="-225"/>
                          <w:marRight w:val="-225"/>
                          <w:marTop w:val="0"/>
                          <w:marBottom w:val="0"/>
                          <w:divBdr>
                            <w:top w:val="none" w:sz="0" w:space="0" w:color="auto"/>
                            <w:left w:val="none" w:sz="0" w:space="0" w:color="auto"/>
                            <w:bottom w:val="none" w:sz="0" w:space="0" w:color="auto"/>
                            <w:right w:val="none" w:sz="0" w:space="0" w:color="auto"/>
                          </w:divBdr>
                          <w:divsChild>
                            <w:div w:id="1640263746">
                              <w:marLeft w:val="0"/>
                              <w:marRight w:val="0"/>
                              <w:marTop w:val="0"/>
                              <w:marBottom w:val="0"/>
                              <w:divBdr>
                                <w:top w:val="none" w:sz="0" w:space="0" w:color="auto"/>
                                <w:left w:val="none" w:sz="0" w:space="0" w:color="auto"/>
                                <w:bottom w:val="none" w:sz="0" w:space="0" w:color="auto"/>
                                <w:right w:val="none" w:sz="0" w:space="0" w:color="auto"/>
                              </w:divBdr>
                              <w:divsChild>
                                <w:div w:id="1607956718">
                                  <w:marLeft w:val="0"/>
                                  <w:marRight w:val="0"/>
                                  <w:marTop w:val="0"/>
                                  <w:marBottom w:val="0"/>
                                  <w:divBdr>
                                    <w:top w:val="none" w:sz="0" w:space="0" w:color="auto"/>
                                    <w:left w:val="none" w:sz="0" w:space="0" w:color="auto"/>
                                    <w:bottom w:val="none" w:sz="0" w:space="0" w:color="auto"/>
                                    <w:right w:val="none" w:sz="0" w:space="0" w:color="auto"/>
                                  </w:divBdr>
                                  <w:divsChild>
                                    <w:div w:id="1448085023">
                                      <w:marLeft w:val="-225"/>
                                      <w:marRight w:val="-225"/>
                                      <w:marTop w:val="0"/>
                                      <w:marBottom w:val="0"/>
                                      <w:divBdr>
                                        <w:top w:val="none" w:sz="0" w:space="0" w:color="auto"/>
                                        <w:left w:val="none" w:sz="0" w:space="0" w:color="auto"/>
                                        <w:bottom w:val="none" w:sz="0" w:space="0" w:color="auto"/>
                                        <w:right w:val="none" w:sz="0" w:space="0" w:color="auto"/>
                                      </w:divBdr>
                                      <w:divsChild>
                                        <w:div w:id="1532307571">
                                          <w:marLeft w:val="0"/>
                                          <w:marRight w:val="0"/>
                                          <w:marTop w:val="0"/>
                                          <w:marBottom w:val="0"/>
                                          <w:divBdr>
                                            <w:top w:val="none" w:sz="0" w:space="0" w:color="auto"/>
                                            <w:left w:val="none" w:sz="0" w:space="0" w:color="auto"/>
                                            <w:bottom w:val="none" w:sz="0" w:space="0" w:color="auto"/>
                                            <w:right w:val="none" w:sz="0" w:space="0" w:color="auto"/>
                                          </w:divBdr>
                                          <w:divsChild>
                                            <w:div w:id="84609684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068448">
      <w:bodyDiv w:val="1"/>
      <w:marLeft w:val="0"/>
      <w:marRight w:val="0"/>
      <w:marTop w:val="0"/>
      <w:marBottom w:val="0"/>
      <w:divBdr>
        <w:top w:val="none" w:sz="0" w:space="0" w:color="auto"/>
        <w:left w:val="none" w:sz="0" w:space="0" w:color="auto"/>
        <w:bottom w:val="none" w:sz="0" w:space="0" w:color="auto"/>
        <w:right w:val="none" w:sz="0" w:space="0" w:color="auto"/>
      </w:divBdr>
      <w:divsChild>
        <w:div w:id="573978307">
          <w:marLeft w:val="0"/>
          <w:marRight w:val="0"/>
          <w:marTop w:val="0"/>
          <w:marBottom w:val="0"/>
          <w:divBdr>
            <w:top w:val="none" w:sz="0" w:space="0" w:color="auto"/>
            <w:left w:val="none" w:sz="0" w:space="0" w:color="auto"/>
            <w:bottom w:val="none" w:sz="0" w:space="0" w:color="auto"/>
            <w:right w:val="none" w:sz="0" w:space="0" w:color="auto"/>
          </w:divBdr>
          <w:divsChild>
            <w:div w:id="1447381892">
              <w:marLeft w:val="0"/>
              <w:marRight w:val="0"/>
              <w:marTop w:val="0"/>
              <w:marBottom w:val="0"/>
              <w:divBdr>
                <w:top w:val="none" w:sz="0" w:space="0" w:color="auto"/>
                <w:left w:val="none" w:sz="0" w:space="0" w:color="auto"/>
                <w:bottom w:val="none" w:sz="0" w:space="0" w:color="auto"/>
                <w:right w:val="none" w:sz="0" w:space="0" w:color="auto"/>
              </w:divBdr>
              <w:divsChild>
                <w:div w:id="1728720211">
                  <w:marLeft w:val="-225"/>
                  <w:marRight w:val="-225"/>
                  <w:marTop w:val="0"/>
                  <w:marBottom w:val="0"/>
                  <w:divBdr>
                    <w:top w:val="none" w:sz="0" w:space="0" w:color="auto"/>
                    <w:left w:val="none" w:sz="0" w:space="0" w:color="auto"/>
                    <w:bottom w:val="none" w:sz="0" w:space="0" w:color="auto"/>
                    <w:right w:val="none" w:sz="0" w:space="0" w:color="auto"/>
                  </w:divBdr>
                  <w:divsChild>
                    <w:div w:id="1186334893">
                      <w:marLeft w:val="0"/>
                      <w:marRight w:val="0"/>
                      <w:marTop w:val="0"/>
                      <w:marBottom w:val="0"/>
                      <w:divBdr>
                        <w:top w:val="none" w:sz="0" w:space="0" w:color="auto"/>
                        <w:left w:val="none" w:sz="0" w:space="0" w:color="auto"/>
                        <w:bottom w:val="none" w:sz="0" w:space="0" w:color="auto"/>
                        <w:right w:val="none" w:sz="0" w:space="0" w:color="auto"/>
                      </w:divBdr>
                      <w:divsChild>
                        <w:div w:id="373240644">
                          <w:marLeft w:val="-225"/>
                          <w:marRight w:val="-225"/>
                          <w:marTop w:val="0"/>
                          <w:marBottom w:val="0"/>
                          <w:divBdr>
                            <w:top w:val="none" w:sz="0" w:space="0" w:color="auto"/>
                            <w:left w:val="none" w:sz="0" w:space="0" w:color="auto"/>
                            <w:bottom w:val="none" w:sz="0" w:space="0" w:color="auto"/>
                            <w:right w:val="none" w:sz="0" w:space="0" w:color="auto"/>
                          </w:divBdr>
                          <w:divsChild>
                            <w:div w:id="1746217794">
                              <w:marLeft w:val="0"/>
                              <w:marRight w:val="0"/>
                              <w:marTop w:val="0"/>
                              <w:marBottom w:val="0"/>
                              <w:divBdr>
                                <w:top w:val="none" w:sz="0" w:space="0" w:color="auto"/>
                                <w:left w:val="none" w:sz="0" w:space="0" w:color="auto"/>
                                <w:bottom w:val="none" w:sz="0" w:space="0" w:color="auto"/>
                                <w:right w:val="none" w:sz="0" w:space="0" w:color="auto"/>
                              </w:divBdr>
                              <w:divsChild>
                                <w:div w:id="1926574670">
                                  <w:marLeft w:val="0"/>
                                  <w:marRight w:val="0"/>
                                  <w:marTop w:val="0"/>
                                  <w:marBottom w:val="0"/>
                                  <w:divBdr>
                                    <w:top w:val="none" w:sz="0" w:space="0" w:color="auto"/>
                                    <w:left w:val="none" w:sz="0" w:space="0" w:color="auto"/>
                                    <w:bottom w:val="none" w:sz="0" w:space="0" w:color="auto"/>
                                    <w:right w:val="none" w:sz="0" w:space="0" w:color="auto"/>
                                  </w:divBdr>
                                  <w:divsChild>
                                    <w:div w:id="1377506995">
                                      <w:marLeft w:val="-225"/>
                                      <w:marRight w:val="-225"/>
                                      <w:marTop w:val="0"/>
                                      <w:marBottom w:val="0"/>
                                      <w:divBdr>
                                        <w:top w:val="none" w:sz="0" w:space="0" w:color="auto"/>
                                        <w:left w:val="none" w:sz="0" w:space="0" w:color="auto"/>
                                        <w:bottom w:val="none" w:sz="0" w:space="0" w:color="auto"/>
                                        <w:right w:val="none" w:sz="0" w:space="0" w:color="auto"/>
                                      </w:divBdr>
                                      <w:divsChild>
                                        <w:div w:id="1411125211">
                                          <w:marLeft w:val="0"/>
                                          <w:marRight w:val="0"/>
                                          <w:marTop w:val="0"/>
                                          <w:marBottom w:val="0"/>
                                          <w:divBdr>
                                            <w:top w:val="none" w:sz="0" w:space="0" w:color="auto"/>
                                            <w:left w:val="none" w:sz="0" w:space="0" w:color="auto"/>
                                            <w:bottom w:val="none" w:sz="0" w:space="0" w:color="auto"/>
                                            <w:right w:val="none" w:sz="0" w:space="0" w:color="auto"/>
                                          </w:divBdr>
                                          <w:divsChild>
                                            <w:div w:id="67129620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862312">
      <w:bodyDiv w:val="1"/>
      <w:marLeft w:val="0"/>
      <w:marRight w:val="0"/>
      <w:marTop w:val="0"/>
      <w:marBottom w:val="0"/>
      <w:divBdr>
        <w:top w:val="none" w:sz="0" w:space="0" w:color="auto"/>
        <w:left w:val="none" w:sz="0" w:space="0" w:color="auto"/>
        <w:bottom w:val="none" w:sz="0" w:space="0" w:color="auto"/>
        <w:right w:val="none" w:sz="0" w:space="0" w:color="auto"/>
      </w:divBdr>
      <w:divsChild>
        <w:div w:id="811866093">
          <w:marLeft w:val="0"/>
          <w:marRight w:val="0"/>
          <w:marTop w:val="0"/>
          <w:marBottom w:val="0"/>
          <w:divBdr>
            <w:top w:val="none" w:sz="0" w:space="0" w:color="auto"/>
            <w:left w:val="none" w:sz="0" w:space="0" w:color="auto"/>
            <w:bottom w:val="none" w:sz="0" w:space="0" w:color="auto"/>
            <w:right w:val="none" w:sz="0" w:space="0" w:color="auto"/>
          </w:divBdr>
          <w:divsChild>
            <w:div w:id="91046821">
              <w:marLeft w:val="0"/>
              <w:marRight w:val="0"/>
              <w:marTop w:val="0"/>
              <w:marBottom w:val="0"/>
              <w:divBdr>
                <w:top w:val="none" w:sz="0" w:space="0" w:color="auto"/>
                <w:left w:val="none" w:sz="0" w:space="0" w:color="auto"/>
                <w:bottom w:val="none" w:sz="0" w:space="0" w:color="auto"/>
                <w:right w:val="none" w:sz="0" w:space="0" w:color="auto"/>
              </w:divBdr>
              <w:divsChild>
                <w:div w:id="1398087942">
                  <w:marLeft w:val="-225"/>
                  <w:marRight w:val="-225"/>
                  <w:marTop w:val="0"/>
                  <w:marBottom w:val="0"/>
                  <w:divBdr>
                    <w:top w:val="none" w:sz="0" w:space="0" w:color="auto"/>
                    <w:left w:val="none" w:sz="0" w:space="0" w:color="auto"/>
                    <w:bottom w:val="none" w:sz="0" w:space="0" w:color="auto"/>
                    <w:right w:val="none" w:sz="0" w:space="0" w:color="auto"/>
                  </w:divBdr>
                  <w:divsChild>
                    <w:div w:id="595333363">
                      <w:marLeft w:val="0"/>
                      <w:marRight w:val="0"/>
                      <w:marTop w:val="0"/>
                      <w:marBottom w:val="0"/>
                      <w:divBdr>
                        <w:top w:val="none" w:sz="0" w:space="0" w:color="auto"/>
                        <w:left w:val="none" w:sz="0" w:space="0" w:color="auto"/>
                        <w:bottom w:val="none" w:sz="0" w:space="0" w:color="auto"/>
                        <w:right w:val="none" w:sz="0" w:space="0" w:color="auto"/>
                      </w:divBdr>
                      <w:divsChild>
                        <w:div w:id="525405636">
                          <w:marLeft w:val="-225"/>
                          <w:marRight w:val="-225"/>
                          <w:marTop w:val="0"/>
                          <w:marBottom w:val="0"/>
                          <w:divBdr>
                            <w:top w:val="none" w:sz="0" w:space="0" w:color="auto"/>
                            <w:left w:val="none" w:sz="0" w:space="0" w:color="auto"/>
                            <w:bottom w:val="none" w:sz="0" w:space="0" w:color="auto"/>
                            <w:right w:val="none" w:sz="0" w:space="0" w:color="auto"/>
                          </w:divBdr>
                          <w:divsChild>
                            <w:div w:id="1468934821">
                              <w:marLeft w:val="0"/>
                              <w:marRight w:val="0"/>
                              <w:marTop w:val="0"/>
                              <w:marBottom w:val="0"/>
                              <w:divBdr>
                                <w:top w:val="none" w:sz="0" w:space="0" w:color="auto"/>
                                <w:left w:val="none" w:sz="0" w:space="0" w:color="auto"/>
                                <w:bottom w:val="none" w:sz="0" w:space="0" w:color="auto"/>
                                <w:right w:val="none" w:sz="0" w:space="0" w:color="auto"/>
                              </w:divBdr>
                              <w:divsChild>
                                <w:div w:id="1558474231">
                                  <w:marLeft w:val="0"/>
                                  <w:marRight w:val="0"/>
                                  <w:marTop w:val="0"/>
                                  <w:marBottom w:val="0"/>
                                  <w:divBdr>
                                    <w:top w:val="none" w:sz="0" w:space="0" w:color="auto"/>
                                    <w:left w:val="none" w:sz="0" w:space="0" w:color="auto"/>
                                    <w:bottom w:val="none" w:sz="0" w:space="0" w:color="auto"/>
                                    <w:right w:val="none" w:sz="0" w:space="0" w:color="auto"/>
                                  </w:divBdr>
                                  <w:divsChild>
                                    <w:div w:id="1182932099">
                                      <w:marLeft w:val="-225"/>
                                      <w:marRight w:val="-225"/>
                                      <w:marTop w:val="0"/>
                                      <w:marBottom w:val="0"/>
                                      <w:divBdr>
                                        <w:top w:val="none" w:sz="0" w:space="0" w:color="auto"/>
                                        <w:left w:val="none" w:sz="0" w:space="0" w:color="auto"/>
                                        <w:bottom w:val="none" w:sz="0" w:space="0" w:color="auto"/>
                                        <w:right w:val="none" w:sz="0" w:space="0" w:color="auto"/>
                                      </w:divBdr>
                                      <w:divsChild>
                                        <w:div w:id="1154686806">
                                          <w:marLeft w:val="0"/>
                                          <w:marRight w:val="0"/>
                                          <w:marTop w:val="0"/>
                                          <w:marBottom w:val="0"/>
                                          <w:divBdr>
                                            <w:top w:val="none" w:sz="0" w:space="0" w:color="auto"/>
                                            <w:left w:val="none" w:sz="0" w:space="0" w:color="auto"/>
                                            <w:bottom w:val="none" w:sz="0" w:space="0" w:color="auto"/>
                                            <w:right w:val="none" w:sz="0" w:space="0" w:color="auto"/>
                                          </w:divBdr>
                                          <w:divsChild>
                                            <w:div w:id="145247930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35</Pages>
  <Words>22158</Words>
  <Characters>126302</Characters>
  <Application>Microsoft Office Word</Application>
  <DocSecurity>0</DocSecurity>
  <Lines>1052</Lines>
  <Paragraphs>296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4</cp:revision>
  <dcterms:created xsi:type="dcterms:W3CDTF">2018-09-11T07:55:00Z</dcterms:created>
  <dcterms:modified xsi:type="dcterms:W3CDTF">2018-09-11T09:39:00Z</dcterms:modified>
</cp:coreProperties>
</file>